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0D" w:rsidRPr="00FC160D" w:rsidRDefault="00FC160D" w:rsidP="00FC160D">
      <w:pPr>
        <w:jc w:val="both"/>
        <w:rPr>
          <w:b/>
          <w:sz w:val="24"/>
          <w:szCs w:val="24"/>
          <w:u w:val="single"/>
        </w:rPr>
      </w:pPr>
      <w:r w:rsidRPr="00FC160D">
        <w:rPr>
          <w:b/>
          <w:sz w:val="24"/>
          <w:szCs w:val="24"/>
          <w:u w:val="single"/>
        </w:rPr>
        <w:t>Par jauno finanšu izlīdzināšanas modeli:</w:t>
      </w:r>
    </w:p>
    <w:p w:rsidR="00FC160D" w:rsidRDefault="00FC160D" w:rsidP="00FC160D">
      <w:pPr>
        <w:jc w:val="both"/>
        <w:rPr>
          <w:sz w:val="24"/>
          <w:szCs w:val="24"/>
        </w:rPr>
      </w:pPr>
      <w:r>
        <w:rPr>
          <w:sz w:val="24"/>
          <w:szCs w:val="24"/>
        </w:rPr>
        <w:t>Finanšu ministrijas izstrādātais pašvaldību finanšu izlīdzināšanas modelis paredz no esošā atšķirīgus izlīdzināšanas principus, tādēļ modeļa maiņa radīs lielākas vai mazākas izmaiņas pašvaldību ieņēmumos.</w:t>
      </w:r>
    </w:p>
    <w:p w:rsidR="00FC160D" w:rsidRDefault="00FC160D" w:rsidP="00FC160D">
      <w:pPr>
        <w:jc w:val="both"/>
        <w:rPr>
          <w:sz w:val="24"/>
          <w:szCs w:val="24"/>
        </w:rPr>
      </w:pPr>
      <w:r>
        <w:rPr>
          <w:sz w:val="24"/>
          <w:szCs w:val="24"/>
        </w:rPr>
        <w:t xml:space="preserve">Salīdzinot Finanšu ministrijas pašvaldībām izsūtīto provizorisko pašvaldību finanšu izlīdzināšanas aprēķinu 2016. gadam (bez pārejas perioda) ar 2015. gada aprēķinu (spēkā esošo), lielākais izlīdzināto ieņēmumu samazinājums vērojams </w:t>
      </w:r>
      <w:r>
        <w:rPr>
          <w:b/>
          <w:bCs/>
          <w:sz w:val="24"/>
          <w:szCs w:val="24"/>
        </w:rPr>
        <w:t>Garkalnes novadam</w:t>
      </w:r>
      <w:r>
        <w:rPr>
          <w:sz w:val="24"/>
          <w:szCs w:val="24"/>
        </w:rPr>
        <w:t xml:space="preserve"> – par 967 tūkst. </w:t>
      </w:r>
      <w:proofErr w:type="spellStart"/>
      <w:r>
        <w:rPr>
          <w:sz w:val="24"/>
          <w:szCs w:val="24"/>
        </w:rPr>
        <w:t>euro</w:t>
      </w:r>
      <w:proofErr w:type="spellEnd"/>
      <w:r>
        <w:rPr>
          <w:sz w:val="24"/>
          <w:szCs w:val="24"/>
        </w:rPr>
        <w:t xml:space="preserve"> (par 12%), </w:t>
      </w:r>
      <w:r>
        <w:rPr>
          <w:b/>
          <w:bCs/>
          <w:sz w:val="24"/>
          <w:szCs w:val="24"/>
        </w:rPr>
        <w:t xml:space="preserve">Viļānu novadam </w:t>
      </w:r>
      <w:r>
        <w:rPr>
          <w:sz w:val="24"/>
          <w:szCs w:val="24"/>
        </w:rPr>
        <w:t xml:space="preserve">– par 334 tūkst. </w:t>
      </w:r>
      <w:proofErr w:type="spellStart"/>
      <w:r>
        <w:rPr>
          <w:sz w:val="24"/>
          <w:szCs w:val="24"/>
        </w:rPr>
        <w:t>euro</w:t>
      </w:r>
      <w:proofErr w:type="spellEnd"/>
      <w:r>
        <w:rPr>
          <w:sz w:val="24"/>
          <w:szCs w:val="24"/>
        </w:rPr>
        <w:t xml:space="preserve"> (par 9,1%), </w:t>
      </w:r>
      <w:r>
        <w:rPr>
          <w:b/>
          <w:bCs/>
          <w:sz w:val="24"/>
          <w:szCs w:val="24"/>
        </w:rPr>
        <w:t>Babītes novadam</w:t>
      </w:r>
      <w:r>
        <w:rPr>
          <w:sz w:val="24"/>
          <w:szCs w:val="24"/>
        </w:rPr>
        <w:t xml:space="preserve"> – par 721 tūkst. </w:t>
      </w:r>
      <w:proofErr w:type="spellStart"/>
      <w:r>
        <w:rPr>
          <w:sz w:val="24"/>
          <w:szCs w:val="24"/>
        </w:rPr>
        <w:t>euro</w:t>
      </w:r>
      <w:proofErr w:type="spellEnd"/>
      <w:r>
        <w:rPr>
          <w:sz w:val="24"/>
          <w:szCs w:val="24"/>
        </w:rPr>
        <w:t xml:space="preserve"> (par 8,1</w:t>
      </w:r>
      <w:r>
        <w:rPr>
          <w:b/>
          <w:bCs/>
          <w:sz w:val="24"/>
          <w:szCs w:val="24"/>
        </w:rPr>
        <w:t>%), Aglonas novadam</w:t>
      </w:r>
      <w:r>
        <w:rPr>
          <w:sz w:val="24"/>
          <w:szCs w:val="24"/>
        </w:rPr>
        <w:t xml:space="preserve"> – par 179 tūkst. </w:t>
      </w:r>
      <w:proofErr w:type="spellStart"/>
      <w:r>
        <w:rPr>
          <w:sz w:val="24"/>
          <w:szCs w:val="24"/>
        </w:rPr>
        <w:t>euro</w:t>
      </w:r>
      <w:proofErr w:type="spellEnd"/>
      <w:r>
        <w:rPr>
          <w:sz w:val="24"/>
          <w:szCs w:val="24"/>
        </w:rPr>
        <w:t xml:space="preserve"> (par 8%), </w:t>
      </w:r>
      <w:r>
        <w:rPr>
          <w:b/>
          <w:bCs/>
          <w:sz w:val="24"/>
          <w:szCs w:val="24"/>
        </w:rPr>
        <w:t>Zilupes novadam</w:t>
      </w:r>
      <w:r>
        <w:rPr>
          <w:sz w:val="24"/>
          <w:szCs w:val="24"/>
        </w:rPr>
        <w:t xml:space="preserve"> – par 151 tūkst. </w:t>
      </w:r>
      <w:proofErr w:type="spellStart"/>
      <w:r>
        <w:rPr>
          <w:sz w:val="24"/>
          <w:szCs w:val="24"/>
        </w:rPr>
        <w:t>euro</w:t>
      </w:r>
      <w:proofErr w:type="spellEnd"/>
      <w:r>
        <w:rPr>
          <w:sz w:val="24"/>
          <w:szCs w:val="24"/>
        </w:rPr>
        <w:t xml:space="preserve"> (par 7,9%), </w:t>
      </w:r>
      <w:r>
        <w:rPr>
          <w:b/>
          <w:bCs/>
          <w:sz w:val="24"/>
          <w:szCs w:val="24"/>
        </w:rPr>
        <w:t>Krāslavas novadam</w:t>
      </w:r>
      <w:r>
        <w:rPr>
          <w:sz w:val="24"/>
          <w:szCs w:val="24"/>
        </w:rPr>
        <w:t xml:space="preserve"> – par 763 tūkst. </w:t>
      </w:r>
      <w:proofErr w:type="spellStart"/>
      <w:r>
        <w:rPr>
          <w:sz w:val="24"/>
          <w:szCs w:val="24"/>
        </w:rPr>
        <w:t>euro</w:t>
      </w:r>
      <w:proofErr w:type="spellEnd"/>
      <w:r>
        <w:rPr>
          <w:sz w:val="24"/>
          <w:szCs w:val="24"/>
        </w:rPr>
        <w:t xml:space="preserve"> (par 7,7%), </w:t>
      </w:r>
      <w:r>
        <w:rPr>
          <w:b/>
          <w:bCs/>
          <w:sz w:val="24"/>
          <w:szCs w:val="24"/>
        </w:rPr>
        <w:t>Vārkavas novadam</w:t>
      </w:r>
      <w:r>
        <w:rPr>
          <w:sz w:val="24"/>
          <w:szCs w:val="24"/>
        </w:rPr>
        <w:t xml:space="preserve"> – par 81 tūkst. </w:t>
      </w:r>
      <w:proofErr w:type="spellStart"/>
      <w:r>
        <w:rPr>
          <w:sz w:val="24"/>
          <w:szCs w:val="24"/>
        </w:rPr>
        <w:t>euro</w:t>
      </w:r>
      <w:proofErr w:type="spellEnd"/>
      <w:r>
        <w:rPr>
          <w:sz w:val="24"/>
          <w:szCs w:val="24"/>
        </w:rPr>
        <w:t xml:space="preserve"> (par 6,7%), </w:t>
      </w:r>
      <w:r>
        <w:rPr>
          <w:b/>
          <w:bCs/>
          <w:sz w:val="24"/>
          <w:szCs w:val="24"/>
        </w:rPr>
        <w:t>Varakļānu novadam</w:t>
      </w:r>
      <w:r>
        <w:rPr>
          <w:sz w:val="24"/>
          <w:szCs w:val="24"/>
        </w:rPr>
        <w:t xml:space="preserve"> – par 131 tūkst. </w:t>
      </w:r>
      <w:proofErr w:type="spellStart"/>
      <w:r>
        <w:rPr>
          <w:sz w:val="24"/>
          <w:szCs w:val="24"/>
        </w:rPr>
        <w:t>euro</w:t>
      </w:r>
      <w:proofErr w:type="spellEnd"/>
      <w:r>
        <w:rPr>
          <w:sz w:val="24"/>
          <w:szCs w:val="24"/>
        </w:rPr>
        <w:t xml:space="preserve"> (par 6,4%), </w:t>
      </w:r>
      <w:r>
        <w:rPr>
          <w:b/>
          <w:bCs/>
          <w:sz w:val="24"/>
          <w:szCs w:val="24"/>
        </w:rPr>
        <w:t>Daugavpils novadam</w:t>
      </w:r>
      <w:r>
        <w:rPr>
          <w:sz w:val="24"/>
          <w:szCs w:val="24"/>
        </w:rPr>
        <w:t xml:space="preserve"> – par 885 tūkst. </w:t>
      </w:r>
      <w:proofErr w:type="spellStart"/>
      <w:r>
        <w:rPr>
          <w:sz w:val="24"/>
          <w:szCs w:val="24"/>
        </w:rPr>
        <w:t>euro</w:t>
      </w:r>
      <w:proofErr w:type="spellEnd"/>
      <w:r>
        <w:rPr>
          <w:sz w:val="24"/>
          <w:szCs w:val="24"/>
        </w:rPr>
        <w:t xml:space="preserve"> (par 6,3%), </w:t>
      </w:r>
      <w:r>
        <w:rPr>
          <w:b/>
          <w:bCs/>
          <w:sz w:val="24"/>
          <w:szCs w:val="24"/>
        </w:rPr>
        <w:t>Riebiņu novadam</w:t>
      </w:r>
      <w:r>
        <w:rPr>
          <w:sz w:val="24"/>
          <w:szCs w:val="24"/>
        </w:rPr>
        <w:t xml:space="preserve"> – par 190 tūkst. </w:t>
      </w:r>
      <w:proofErr w:type="spellStart"/>
      <w:r>
        <w:rPr>
          <w:sz w:val="24"/>
          <w:szCs w:val="24"/>
        </w:rPr>
        <w:t>euro</w:t>
      </w:r>
      <w:proofErr w:type="spellEnd"/>
      <w:r>
        <w:rPr>
          <w:sz w:val="24"/>
          <w:szCs w:val="24"/>
        </w:rPr>
        <w:t xml:space="preserve"> (par 6%) un </w:t>
      </w:r>
      <w:r>
        <w:rPr>
          <w:b/>
          <w:bCs/>
          <w:sz w:val="24"/>
          <w:szCs w:val="24"/>
        </w:rPr>
        <w:t>Rēzeknes novadam</w:t>
      </w:r>
      <w:r>
        <w:rPr>
          <w:sz w:val="24"/>
          <w:szCs w:val="24"/>
        </w:rPr>
        <w:t xml:space="preserve"> – par 1 milj. </w:t>
      </w:r>
      <w:proofErr w:type="spellStart"/>
      <w:r>
        <w:rPr>
          <w:sz w:val="24"/>
          <w:szCs w:val="24"/>
        </w:rPr>
        <w:t>euro</w:t>
      </w:r>
      <w:proofErr w:type="spellEnd"/>
      <w:r>
        <w:rPr>
          <w:sz w:val="24"/>
          <w:szCs w:val="24"/>
        </w:rPr>
        <w:t xml:space="preserve"> (par 6%). </w:t>
      </w:r>
    </w:p>
    <w:p w:rsidR="00FC160D" w:rsidRDefault="00FC160D" w:rsidP="00FC160D">
      <w:pPr>
        <w:jc w:val="both"/>
        <w:rPr>
          <w:sz w:val="24"/>
          <w:szCs w:val="24"/>
        </w:rPr>
      </w:pPr>
      <w:r>
        <w:rPr>
          <w:sz w:val="24"/>
          <w:szCs w:val="24"/>
        </w:rPr>
        <w:t xml:space="preserve">Jāuzsver, ka 98% no Latgales novadiem vērojams vērtēto ieņēmumu pēc izlīdzināšanas samazinājums. </w:t>
      </w:r>
    </w:p>
    <w:p w:rsidR="00FC160D" w:rsidRDefault="00FC160D" w:rsidP="00FC160D">
      <w:pPr>
        <w:jc w:val="both"/>
        <w:rPr>
          <w:sz w:val="24"/>
          <w:szCs w:val="24"/>
        </w:rPr>
      </w:pPr>
      <w:r>
        <w:rPr>
          <w:sz w:val="24"/>
          <w:szCs w:val="24"/>
        </w:rPr>
        <w:t xml:space="preserve">Savukārt lielākais izlīdzināto ieņēmumu pieaugums prognozēts </w:t>
      </w:r>
      <w:r>
        <w:rPr>
          <w:b/>
          <w:bCs/>
          <w:sz w:val="24"/>
          <w:szCs w:val="24"/>
        </w:rPr>
        <w:t>Jēkabpils pilsētai</w:t>
      </w:r>
      <w:r>
        <w:rPr>
          <w:sz w:val="24"/>
          <w:szCs w:val="24"/>
        </w:rPr>
        <w:t xml:space="preserve"> – par 1,9 milj. </w:t>
      </w:r>
      <w:proofErr w:type="spellStart"/>
      <w:r>
        <w:rPr>
          <w:sz w:val="24"/>
          <w:szCs w:val="24"/>
        </w:rPr>
        <w:t>euro</w:t>
      </w:r>
      <w:proofErr w:type="spellEnd"/>
      <w:r>
        <w:rPr>
          <w:sz w:val="24"/>
          <w:szCs w:val="24"/>
        </w:rPr>
        <w:t xml:space="preserve"> (par 15,1%), </w:t>
      </w:r>
      <w:r>
        <w:rPr>
          <w:b/>
          <w:bCs/>
          <w:sz w:val="24"/>
          <w:szCs w:val="24"/>
        </w:rPr>
        <w:t>Ķeguma novadam</w:t>
      </w:r>
      <w:r>
        <w:rPr>
          <w:sz w:val="24"/>
          <w:szCs w:val="24"/>
        </w:rPr>
        <w:t xml:space="preserve"> – par 456 tūkst. </w:t>
      </w:r>
      <w:proofErr w:type="spellStart"/>
      <w:r>
        <w:rPr>
          <w:sz w:val="24"/>
          <w:szCs w:val="24"/>
        </w:rPr>
        <w:t>euro</w:t>
      </w:r>
      <w:proofErr w:type="spellEnd"/>
      <w:r>
        <w:rPr>
          <w:sz w:val="24"/>
          <w:szCs w:val="24"/>
        </w:rPr>
        <w:t xml:space="preserve"> (par 13,8%), </w:t>
      </w:r>
      <w:r>
        <w:rPr>
          <w:b/>
          <w:bCs/>
          <w:sz w:val="24"/>
          <w:szCs w:val="24"/>
        </w:rPr>
        <w:t>Ventspils novadam</w:t>
      </w:r>
      <w:r>
        <w:rPr>
          <w:sz w:val="24"/>
          <w:szCs w:val="24"/>
        </w:rPr>
        <w:t xml:space="preserve"> – par 1 milj. </w:t>
      </w:r>
      <w:proofErr w:type="spellStart"/>
      <w:r>
        <w:rPr>
          <w:sz w:val="24"/>
          <w:szCs w:val="24"/>
        </w:rPr>
        <w:t>euro</w:t>
      </w:r>
      <w:proofErr w:type="spellEnd"/>
      <w:r>
        <w:rPr>
          <w:sz w:val="24"/>
          <w:szCs w:val="24"/>
        </w:rPr>
        <w:t xml:space="preserve"> (par 13,7%), </w:t>
      </w:r>
      <w:r>
        <w:rPr>
          <w:b/>
          <w:bCs/>
          <w:sz w:val="24"/>
          <w:szCs w:val="24"/>
        </w:rPr>
        <w:t>Liepājas pilsētai</w:t>
      </w:r>
      <w:r>
        <w:rPr>
          <w:sz w:val="24"/>
          <w:szCs w:val="24"/>
        </w:rPr>
        <w:t xml:space="preserve"> – par 5,5 milj. </w:t>
      </w:r>
      <w:proofErr w:type="spellStart"/>
      <w:r>
        <w:rPr>
          <w:sz w:val="24"/>
          <w:szCs w:val="24"/>
        </w:rPr>
        <w:t>euro</w:t>
      </w:r>
      <w:proofErr w:type="spellEnd"/>
      <w:r>
        <w:rPr>
          <w:sz w:val="24"/>
          <w:szCs w:val="24"/>
        </w:rPr>
        <w:t xml:space="preserve"> (par 13,7%), </w:t>
      </w:r>
      <w:r>
        <w:rPr>
          <w:b/>
          <w:bCs/>
          <w:sz w:val="24"/>
          <w:szCs w:val="24"/>
        </w:rPr>
        <w:t>Rucavas novadam</w:t>
      </w:r>
      <w:r>
        <w:rPr>
          <w:sz w:val="24"/>
          <w:szCs w:val="24"/>
        </w:rPr>
        <w:t xml:space="preserve"> – par 130 tūkst. </w:t>
      </w:r>
      <w:proofErr w:type="spellStart"/>
      <w:r>
        <w:rPr>
          <w:sz w:val="24"/>
          <w:szCs w:val="24"/>
        </w:rPr>
        <w:t>euro</w:t>
      </w:r>
      <w:proofErr w:type="spellEnd"/>
      <w:r>
        <w:rPr>
          <w:sz w:val="24"/>
          <w:szCs w:val="24"/>
        </w:rPr>
        <w:t xml:space="preserve"> (par 12,5%), </w:t>
      </w:r>
      <w:r>
        <w:rPr>
          <w:b/>
          <w:bCs/>
          <w:sz w:val="24"/>
          <w:szCs w:val="24"/>
        </w:rPr>
        <w:t>Nīcas novadam</w:t>
      </w:r>
      <w:r>
        <w:rPr>
          <w:sz w:val="24"/>
          <w:szCs w:val="24"/>
        </w:rPr>
        <w:t xml:space="preserve"> – par 231 tūkst. </w:t>
      </w:r>
      <w:proofErr w:type="spellStart"/>
      <w:r>
        <w:rPr>
          <w:sz w:val="24"/>
          <w:szCs w:val="24"/>
        </w:rPr>
        <w:t>euro</w:t>
      </w:r>
      <w:proofErr w:type="spellEnd"/>
      <w:r>
        <w:rPr>
          <w:sz w:val="24"/>
          <w:szCs w:val="24"/>
        </w:rPr>
        <w:t xml:space="preserve"> (11,3%), </w:t>
      </w:r>
      <w:r>
        <w:rPr>
          <w:b/>
          <w:bCs/>
          <w:sz w:val="24"/>
          <w:szCs w:val="24"/>
        </w:rPr>
        <w:t>Krimuldas novadam</w:t>
      </w:r>
      <w:r>
        <w:rPr>
          <w:sz w:val="24"/>
          <w:szCs w:val="24"/>
        </w:rPr>
        <w:t xml:space="preserve"> – par 324 tūkst. </w:t>
      </w:r>
      <w:proofErr w:type="spellStart"/>
      <w:r>
        <w:rPr>
          <w:sz w:val="24"/>
          <w:szCs w:val="24"/>
        </w:rPr>
        <w:t>euro</w:t>
      </w:r>
      <w:proofErr w:type="spellEnd"/>
      <w:r>
        <w:rPr>
          <w:sz w:val="24"/>
          <w:szCs w:val="24"/>
        </w:rPr>
        <w:t xml:space="preserve"> (par 10,6%), </w:t>
      </w:r>
      <w:r>
        <w:rPr>
          <w:b/>
          <w:bCs/>
          <w:sz w:val="24"/>
          <w:szCs w:val="24"/>
        </w:rPr>
        <w:t>Naukšēnu novadam</w:t>
      </w:r>
      <w:r>
        <w:rPr>
          <w:sz w:val="24"/>
          <w:szCs w:val="24"/>
        </w:rPr>
        <w:t xml:space="preserve"> – par 115 tūkst. </w:t>
      </w:r>
      <w:proofErr w:type="spellStart"/>
      <w:r>
        <w:rPr>
          <w:sz w:val="24"/>
          <w:szCs w:val="24"/>
        </w:rPr>
        <w:t>euro</w:t>
      </w:r>
      <w:proofErr w:type="spellEnd"/>
      <w:r>
        <w:rPr>
          <w:sz w:val="24"/>
          <w:szCs w:val="24"/>
        </w:rPr>
        <w:t xml:space="preserve"> (9,9%), </w:t>
      </w:r>
      <w:r>
        <w:rPr>
          <w:b/>
          <w:bCs/>
          <w:sz w:val="24"/>
          <w:szCs w:val="24"/>
        </w:rPr>
        <w:t>Pāvilostas novadam</w:t>
      </w:r>
      <w:r>
        <w:rPr>
          <w:sz w:val="24"/>
          <w:szCs w:val="24"/>
        </w:rPr>
        <w:t xml:space="preserve"> – par 165 tūkst. </w:t>
      </w:r>
      <w:proofErr w:type="spellStart"/>
      <w:r>
        <w:rPr>
          <w:sz w:val="24"/>
          <w:szCs w:val="24"/>
        </w:rPr>
        <w:t>euro</w:t>
      </w:r>
      <w:proofErr w:type="spellEnd"/>
      <w:r>
        <w:rPr>
          <w:sz w:val="24"/>
          <w:szCs w:val="24"/>
        </w:rPr>
        <w:t xml:space="preserve"> (par 9,9%) un </w:t>
      </w:r>
      <w:r>
        <w:rPr>
          <w:b/>
          <w:bCs/>
          <w:sz w:val="24"/>
          <w:szCs w:val="24"/>
        </w:rPr>
        <w:t>Beverīnas novadam</w:t>
      </w:r>
      <w:r>
        <w:rPr>
          <w:sz w:val="24"/>
          <w:szCs w:val="24"/>
        </w:rPr>
        <w:t xml:space="preserve"> – par 172 tūkst. </w:t>
      </w:r>
      <w:proofErr w:type="spellStart"/>
      <w:r>
        <w:rPr>
          <w:sz w:val="24"/>
          <w:szCs w:val="24"/>
        </w:rPr>
        <w:t>euro</w:t>
      </w:r>
      <w:proofErr w:type="spellEnd"/>
      <w:r>
        <w:rPr>
          <w:sz w:val="24"/>
          <w:szCs w:val="24"/>
        </w:rPr>
        <w:t xml:space="preserve"> (par 9%). </w:t>
      </w:r>
    </w:p>
    <w:p w:rsidR="00FC160D" w:rsidRDefault="00FC160D" w:rsidP="00FC160D">
      <w:pPr>
        <w:jc w:val="both"/>
        <w:rPr>
          <w:sz w:val="24"/>
          <w:szCs w:val="24"/>
        </w:rPr>
      </w:pPr>
      <w:r>
        <w:rPr>
          <w:sz w:val="24"/>
          <w:szCs w:val="24"/>
        </w:rPr>
        <w:t>Finanšu ministrija paredz nodrošināt, ka jaunās pašvaldību finanšu izlīdzināšanas sistēmas ieviešanas pirmajā gadā nevienai pašvaldībai izlīdzinātie ieņēmumi nebūs mazāki kā iepriekšējā gadā, taču šāds speciāls risinājums ir plānots tikai kā vienreizējs. Ilgtermiņā izlīdzināšanas modeļu maiņas rezultātā radušās negatīvās sekas pašvaldībām nav paredzēts kompensēt.</w:t>
      </w:r>
    </w:p>
    <w:p w:rsidR="00FC160D" w:rsidRDefault="00FC160D" w:rsidP="00FC160D">
      <w:pPr>
        <w:jc w:val="both"/>
        <w:rPr>
          <w:sz w:val="24"/>
          <w:szCs w:val="24"/>
        </w:rPr>
      </w:pPr>
      <w:r>
        <w:rPr>
          <w:sz w:val="24"/>
          <w:szCs w:val="24"/>
        </w:rPr>
        <w:t>Jaunais pašvaldību finanšu izlīdzināšanas modelis sagatavots saskaņā ar Valdības rīcības plānā doto uzdevumu izstrādāt jaunu pašvaldību finanšu izlīdzināšanas sistēmu, kas nodrošinās līdzsvarotu, reģionāli sabalansētu resursu pieejamību visām pašvaldībām.</w:t>
      </w:r>
    </w:p>
    <w:p w:rsidR="00FC160D" w:rsidRDefault="00FC160D" w:rsidP="00FC160D">
      <w:pPr>
        <w:jc w:val="both"/>
        <w:rPr>
          <w:sz w:val="24"/>
          <w:szCs w:val="24"/>
        </w:rPr>
      </w:pPr>
      <w:r>
        <w:rPr>
          <w:sz w:val="24"/>
          <w:szCs w:val="24"/>
        </w:rPr>
        <w:t xml:space="preserve">Pašvaldību izlīdzināto ieņēmumu izmaiņas jaunajā pašvaldību finanšu izlīdzināšanas modelī salīdzinājumā ar esošo modeli pie 2015. gada datiem un </w:t>
      </w:r>
      <w:bookmarkStart w:id="0" w:name="_GoBack"/>
      <w:bookmarkEnd w:id="0"/>
      <w:r>
        <w:rPr>
          <w:sz w:val="24"/>
          <w:szCs w:val="24"/>
        </w:rPr>
        <w:t xml:space="preserve">provizoriskajiem 2016. gada datiem grafiski attēlotas </w:t>
      </w:r>
      <w:r>
        <w:rPr>
          <w:b/>
          <w:bCs/>
          <w:sz w:val="24"/>
          <w:szCs w:val="24"/>
        </w:rPr>
        <w:t>pielikumā pievienotajās kartēs.</w:t>
      </w:r>
    </w:p>
    <w:p w:rsidR="00BE727D" w:rsidRPr="00FC160D" w:rsidRDefault="00BE727D" w:rsidP="00FC160D"/>
    <w:sectPr w:rsidR="00BE727D" w:rsidRPr="00FC160D" w:rsidSect="00554BD7">
      <w:headerReference w:type="default" r:id="rId7"/>
      <w:pgSz w:w="11906" w:h="16838"/>
      <w:pgMar w:top="3119" w:right="1416" w:bottom="720" w:left="1276"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844" w:rsidRDefault="00061844" w:rsidP="002324BA">
      <w:pPr>
        <w:spacing w:after="0" w:line="240" w:lineRule="auto"/>
      </w:pPr>
      <w:r>
        <w:separator/>
      </w:r>
    </w:p>
  </w:endnote>
  <w:endnote w:type="continuationSeparator" w:id="0">
    <w:p w:rsidR="00061844" w:rsidRDefault="00061844" w:rsidP="0023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844" w:rsidRDefault="00061844" w:rsidP="002324BA">
      <w:pPr>
        <w:spacing w:after="0" w:line="240" w:lineRule="auto"/>
      </w:pPr>
      <w:r>
        <w:separator/>
      </w:r>
    </w:p>
  </w:footnote>
  <w:footnote w:type="continuationSeparator" w:id="0">
    <w:p w:rsidR="00061844" w:rsidRDefault="00061844" w:rsidP="00232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BA" w:rsidRDefault="00ED2BDB" w:rsidP="00ED2BDB">
    <w:pPr>
      <w:pStyle w:val="Galvene"/>
      <w:jc w:val="center"/>
    </w:pPr>
    <w:r>
      <w:rPr>
        <w:noProof/>
        <w:lang w:val="en-US" w:eastAsia="en-US"/>
      </w:rPr>
      <w:drawing>
        <wp:inline distT="0" distB="0" distL="0" distR="0">
          <wp:extent cx="5941060" cy="1485265"/>
          <wp:effectExtent l="0" t="0" r="2540" b="63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virs ekrana_001.jpg"/>
                  <pic:cNvPicPr/>
                </pic:nvPicPr>
                <pic:blipFill>
                  <a:blip r:embed="rId1">
                    <a:extLst>
                      <a:ext uri="{28A0092B-C50C-407E-A947-70E740481C1C}">
                        <a14:useLocalDpi xmlns:a14="http://schemas.microsoft.com/office/drawing/2010/main" val="0"/>
                      </a:ext>
                    </a:extLst>
                  </a:blip>
                  <a:stretch>
                    <a:fillRect/>
                  </a:stretch>
                </pic:blipFill>
                <pic:spPr>
                  <a:xfrm>
                    <a:off x="0" y="0"/>
                    <a:ext cx="5941060" cy="1485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325E8"/>
    <w:multiLevelType w:val="multilevel"/>
    <w:tmpl w:val="00C0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97563"/>
    <w:multiLevelType w:val="hybridMultilevel"/>
    <w:tmpl w:val="67FA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956B9"/>
    <w:multiLevelType w:val="multilevel"/>
    <w:tmpl w:val="624E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C359D2"/>
    <w:multiLevelType w:val="hybridMultilevel"/>
    <w:tmpl w:val="3908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4676CA"/>
    <w:multiLevelType w:val="hybridMultilevel"/>
    <w:tmpl w:val="D5F6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E516B4"/>
    <w:multiLevelType w:val="hybridMultilevel"/>
    <w:tmpl w:val="5AE0DF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711510F9"/>
    <w:multiLevelType w:val="multilevel"/>
    <w:tmpl w:val="AD2E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E20400"/>
    <w:multiLevelType w:val="hybridMultilevel"/>
    <w:tmpl w:val="360E1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83"/>
    <w:rsid w:val="00006708"/>
    <w:rsid w:val="00053861"/>
    <w:rsid w:val="00061844"/>
    <w:rsid w:val="00072FB4"/>
    <w:rsid w:val="00077F9C"/>
    <w:rsid w:val="00091CFE"/>
    <w:rsid w:val="000B665E"/>
    <w:rsid w:val="00102593"/>
    <w:rsid w:val="00114743"/>
    <w:rsid w:val="00121873"/>
    <w:rsid w:val="001247B6"/>
    <w:rsid w:val="001313B0"/>
    <w:rsid w:val="001417B5"/>
    <w:rsid w:val="001526ED"/>
    <w:rsid w:val="001608A8"/>
    <w:rsid w:val="00161CC4"/>
    <w:rsid w:val="00162391"/>
    <w:rsid w:val="0019409A"/>
    <w:rsid w:val="001B4212"/>
    <w:rsid w:val="001C1F37"/>
    <w:rsid w:val="001C7805"/>
    <w:rsid w:val="001E1C25"/>
    <w:rsid w:val="00216683"/>
    <w:rsid w:val="002324BA"/>
    <w:rsid w:val="00294D0B"/>
    <w:rsid w:val="002C1B3B"/>
    <w:rsid w:val="00301260"/>
    <w:rsid w:val="00325D90"/>
    <w:rsid w:val="003321EB"/>
    <w:rsid w:val="0033365D"/>
    <w:rsid w:val="0033578A"/>
    <w:rsid w:val="0033703C"/>
    <w:rsid w:val="00351425"/>
    <w:rsid w:val="00364B1C"/>
    <w:rsid w:val="00364CA2"/>
    <w:rsid w:val="00366109"/>
    <w:rsid w:val="003672EF"/>
    <w:rsid w:val="003710BB"/>
    <w:rsid w:val="003A2BE5"/>
    <w:rsid w:val="003C2ADE"/>
    <w:rsid w:val="003C2B51"/>
    <w:rsid w:val="003C43EC"/>
    <w:rsid w:val="00442D49"/>
    <w:rsid w:val="00470D60"/>
    <w:rsid w:val="00471F9B"/>
    <w:rsid w:val="00477F19"/>
    <w:rsid w:val="004823C3"/>
    <w:rsid w:val="004D1180"/>
    <w:rsid w:val="004E4D78"/>
    <w:rsid w:val="004F26EE"/>
    <w:rsid w:val="005341C9"/>
    <w:rsid w:val="00550419"/>
    <w:rsid w:val="00554BD7"/>
    <w:rsid w:val="00574716"/>
    <w:rsid w:val="005B75B8"/>
    <w:rsid w:val="005F5767"/>
    <w:rsid w:val="00604CC5"/>
    <w:rsid w:val="006529A9"/>
    <w:rsid w:val="00654E31"/>
    <w:rsid w:val="0067714C"/>
    <w:rsid w:val="006845C9"/>
    <w:rsid w:val="006D4190"/>
    <w:rsid w:val="006E54CC"/>
    <w:rsid w:val="006F25E1"/>
    <w:rsid w:val="00712B22"/>
    <w:rsid w:val="00720FBF"/>
    <w:rsid w:val="00723057"/>
    <w:rsid w:val="00736C4A"/>
    <w:rsid w:val="00772ADD"/>
    <w:rsid w:val="007A2010"/>
    <w:rsid w:val="007F019F"/>
    <w:rsid w:val="008037B5"/>
    <w:rsid w:val="0081083F"/>
    <w:rsid w:val="00810C1A"/>
    <w:rsid w:val="00843A2E"/>
    <w:rsid w:val="00855A13"/>
    <w:rsid w:val="008567D5"/>
    <w:rsid w:val="00873E95"/>
    <w:rsid w:val="008B699F"/>
    <w:rsid w:val="008C03F6"/>
    <w:rsid w:val="008D1871"/>
    <w:rsid w:val="009301FA"/>
    <w:rsid w:val="00995F18"/>
    <w:rsid w:val="009B799E"/>
    <w:rsid w:val="00A12A57"/>
    <w:rsid w:val="00A50484"/>
    <w:rsid w:val="00A551E4"/>
    <w:rsid w:val="00A65839"/>
    <w:rsid w:val="00AA7F20"/>
    <w:rsid w:val="00AB165F"/>
    <w:rsid w:val="00AC0163"/>
    <w:rsid w:val="00AE226F"/>
    <w:rsid w:val="00AE3AED"/>
    <w:rsid w:val="00AF5261"/>
    <w:rsid w:val="00B0098C"/>
    <w:rsid w:val="00B15EAD"/>
    <w:rsid w:val="00B57F61"/>
    <w:rsid w:val="00B82F70"/>
    <w:rsid w:val="00B905A8"/>
    <w:rsid w:val="00B927A1"/>
    <w:rsid w:val="00BB07F4"/>
    <w:rsid w:val="00BC04B8"/>
    <w:rsid w:val="00BE3CA9"/>
    <w:rsid w:val="00BE727D"/>
    <w:rsid w:val="00C276AE"/>
    <w:rsid w:val="00C41277"/>
    <w:rsid w:val="00C55001"/>
    <w:rsid w:val="00C669BC"/>
    <w:rsid w:val="00C74D14"/>
    <w:rsid w:val="00CB3C78"/>
    <w:rsid w:val="00CF187A"/>
    <w:rsid w:val="00D40790"/>
    <w:rsid w:val="00D43D5C"/>
    <w:rsid w:val="00D502BE"/>
    <w:rsid w:val="00D7581F"/>
    <w:rsid w:val="00DB5C7E"/>
    <w:rsid w:val="00DE7F9C"/>
    <w:rsid w:val="00DF41C1"/>
    <w:rsid w:val="00E06D7F"/>
    <w:rsid w:val="00E335FB"/>
    <w:rsid w:val="00E53548"/>
    <w:rsid w:val="00E80885"/>
    <w:rsid w:val="00E87597"/>
    <w:rsid w:val="00E903E4"/>
    <w:rsid w:val="00EA15F7"/>
    <w:rsid w:val="00EA3285"/>
    <w:rsid w:val="00ED2BDB"/>
    <w:rsid w:val="00EF4A6D"/>
    <w:rsid w:val="00F17E5F"/>
    <w:rsid w:val="00F4773D"/>
    <w:rsid w:val="00F86E07"/>
    <w:rsid w:val="00F953CE"/>
    <w:rsid w:val="00FC160D"/>
    <w:rsid w:val="00FD042C"/>
    <w:rsid w:val="00FE6B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AD0F44-FCAD-46FC-B349-0F16AFC6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1260"/>
  </w:style>
  <w:style w:type="paragraph" w:styleId="Virsraksts3">
    <w:name w:val="heading 3"/>
    <w:basedOn w:val="Parasts"/>
    <w:link w:val="Virsraksts3Rakstz"/>
    <w:uiPriority w:val="9"/>
    <w:qFormat/>
    <w:rsid w:val="00CF187A"/>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953CE"/>
    <w:rPr>
      <w:color w:val="0000FF"/>
      <w:u w:val="single"/>
    </w:rPr>
  </w:style>
  <w:style w:type="paragraph" w:styleId="Galvene">
    <w:name w:val="header"/>
    <w:basedOn w:val="Parasts"/>
    <w:link w:val="GalveneRakstz"/>
    <w:uiPriority w:val="99"/>
    <w:unhideWhenUsed/>
    <w:rsid w:val="002324B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324BA"/>
  </w:style>
  <w:style w:type="paragraph" w:styleId="Kjene">
    <w:name w:val="footer"/>
    <w:basedOn w:val="Parasts"/>
    <w:link w:val="KjeneRakstz"/>
    <w:uiPriority w:val="99"/>
    <w:unhideWhenUsed/>
    <w:rsid w:val="002324B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324BA"/>
  </w:style>
  <w:style w:type="paragraph" w:styleId="Balonteksts">
    <w:name w:val="Balloon Text"/>
    <w:basedOn w:val="Parasts"/>
    <w:link w:val="BalontekstsRakstz"/>
    <w:uiPriority w:val="99"/>
    <w:semiHidden/>
    <w:unhideWhenUsed/>
    <w:rsid w:val="002324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324BA"/>
    <w:rPr>
      <w:rFonts w:ascii="Tahoma" w:hAnsi="Tahoma" w:cs="Tahoma"/>
      <w:sz w:val="16"/>
      <w:szCs w:val="16"/>
    </w:rPr>
  </w:style>
  <w:style w:type="paragraph" w:styleId="Bezatstarpm">
    <w:name w:val="No Spacing"/>
    <w:uiPriority w:val="1"/>
    <w:qFormat/>
    <w:rsid w:val="004E4D78"/>
    <w:pPr>
      <w:spacing w:after="0" w:line="240" w:lineRule="auto"/>
      <w:jc w:val="both"/>
    </w:pPr>
    <w:rPr>
      <w:rFonts w:ascii="Times New Roman" w:eastAsia="SimSun" w:hAnsi="Times New Roman" w:cs="Arial"/>
      <w:sz w:val="24"/>
      <w:lang w:eastAsia="zh-CN"/>
    </w:rPr>
  </w:style>
  <w:style w:type="paragraph" w:styleId="Sarakstarindkopa">
    <w:name w:val="List Paragraph"/>
    <w:basedOn w:val="Parasts"/>
    <w:uiPriority w:val="34"/>
    <w:qFormat/>
    <w:rsid w:val="00574716"/>
    <w:pPr>
      <w:spacing w:after="0" w:line="240" w:lineRule="auto"/>
      <w:ind w:left="720"/>
      <w:contextualSpacing/>
    </w:pPr>
    <w:rPr>
      <w:rFonts w:ascii="Calibri" w:eastAsiaTheme="minorHAnsi" w:hAnsi="Calibri" w:cs="Times New Roman"/>
      <w:lang w:val="en-US" w:eastAsia="en-US"/>
    </w:rPr>
  </w:style>
  <w:style w:type="paragraph" w:styleId="Paraststmeklis">
    <w:name w:val="Normal (Web)"/>
    <w:basedOn w:val="Parasts"/>
    <w:uiPriority w:val="99"/>
    <w:unhideWhenUsed/>
    <w:rsid w:val="00ED2BD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Izteiksmgs">
    <w:name w:val="Strong"/>
    <w:basedOn w:val="Noklusjumarindkopasfonts"/>
    <w:uiPriority w:val="22"/>
    <w:qFormat/>
    <w:rsid w:val="00ED2BDB"/>
    <w:rPr>
      <w:b/>
      <w:bCs/>
    </w:rPr>
  </w:style>
  <w:style w:type="character" w:styleId="Izclums">
    <w:name w:val="Emphasis"/>
    <w:basedOn w:val="Noklusjumarindkopasfonts"/>
    <w:uiPriority w:val="20"/>
    <w:qFormat/>
    <w:rsid w:val="00ED2BDB"/>
    <w:rPr>
      <w:i/>
      <w:iCs/>
    </w:rPr>
  </w:style>
  <w:style w:type="character" w:customStyle="1" w:styleId="st">
    <w:name w:val="st"/>
    <w:basedOn w:val="Noklusjumarindkopasfonts"/>
    <w:rsid w:val="00CB3C78"/>
  </w:style>
  <w:style w:type="character" w:customStyle="1" w:styleId="Virsraksts3Rakstz">
    <w:name w:val="Virsraksts 3 Rakstz."/>
    <w:basedOn w:val="Noklusjumarindkopasfonts"/>
    <w:link w:val="Virsraksts3"/>
    <w:uiPriority w:val="9"/>
    <w:rsid w:val="00CF187A"/>
    <w:rPr>
      <w:rFonts w:ascii="Times New Roman" w:eastAsia="Times New Roman" w:hAnsi="Times New Roman" w:cs="Times New Roman"/>
      <w:b/>
      <w:bCs/>
      <w:sz w:val="27"/>
      <w:szCs w:val="27"/>
      <w:lang w:eastAsia="zh-CN"/>
    </w:rPr>
  </w:style>
  <w:style w:type="paragraph" w:customStyle="1" w:styleId="Default">
    <w:name w:val="Default"/>
    <w:rsid w:val="00CF187A"/>
    <w:pPr>
      <w:autoSpaceDE w:val="0"/>
      <w:autoSpaceDN w:val="0"/>
      <w:adjustRightInd w:val="0"/>
      <w:spacing w:after="0" w:line="240" w:lineRule="auto"/>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36101">
      <w:bodyDiv w:val="1"/>
      <w:marLeft w:val="0"/>
      <w:marRight w:val="0"/>
      <w:marTop w:val="0"/>
      <w:marBottom w:val="0"/>
      <w:divBdr>
        <w:top w:val="none" w:sz="0" w:space="0" w:color="auto"/>
        <w:left w:val="none" w:sz="0" w:space="0" w:color="auto"/>
        <w:bottom w:val="none" w:sz="0" w:space="0" w:color="auto"/>
        <w:right w:val="none" w:sz="0" w:space="0" w:color="auto"/>
      </w:divBdr>
    </w:div>
    <w:div w:id="1983386368">
      <w:bodyDiv w:val="1"/>
      <w:marLeft w:val="0"/>
      <w:marRight w:val="0"/>
      <w:marTop w:val="0"/>
      <w:marBottom w:val="0"/>
      <w:divBdr>
        <w:top w:val="none" w:sz="0" w:space="0" w:color="auto"/>
        <w:left w:val="none" w:sz="0" w:space="0" w:color="auto"/>
        <w:bottom w:val="none" w:sz="0" w:space="0" w:color="auto"/>
        <w:right w:val="none" w:sz="0" w:space="0" w:color="auto"/>
      </w:divBdr>
    </w:div>
    <w:div w:id="20324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2171</Characters>
  <Application>Microsoft Office Word</Application>
  <DocSecurity>0</DocSecurity>
  <Lines>18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Maija Pētermane</cp:lastModifiedBy>
  <cp:revision>2</cp:revision>
  <cp:lastPrinted>2014-11-20T13:01:00Z</cp:lastPrinted>
  <dcterms:created xsi:type="dcterms:W3CDTF">2015-04-22T11:37:00Z</dcterms:created>
  <dcterms:modified xsi:type="dcterms:W3CDTF">2015-04-22T11:37:00Z</dcterms:modified>
</cp:coreProperties>
</file>