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D" w:rsidRPr="006E0BD5" w:rsidRDefault="00F26CAD" w:rsidP="006E0BD5">
      <w:pPr>
        <w:spacing w:after="0" w:line="240" w:lineRule="auto"/>
        <w:jc w:val="right"/>
        <w:rPr>
          <w:rFonts w:ascii="Times New Roman" w:hAnsi="Times New Roman" w:cs="Times New Roman"/>
          <w:sz w:val="24"/>
          <w:szCs w:val="24"/>
        </w:rPr>
      </w:pPr>
      <w:r w:rsidRPr="006E0BD5">
        <w:rPr>
          <w:rFonts w:ascii="Times New Roman" w:hAnsi="Times New Roman" w:cs="Times New Roman"/>
          <w:b/>
          <w:bCs/>
          <w:sz w:val="24"/>
          <w:szCs w:val="24"/>
        </w:rPr>
        <w:t>27.11.</w:t>
      </w:r>
      <w:r w:rsidRPr="006E0BD5">
        <w:rPr>
          <w:rFonts w:ascii="Times New Roman" w:hAnsi="Times New Roman" w:cs="Times New Roman"/>
          <w:sz w:val="24"/>
          <w:szCs w:val="24"/>
        </w:rPr>
        <w:t>2014.</w:t>
      </w:r>
    </w:p>
    <w:p w:rsidR="00F26CAD" w:rsidRPr="006E0BD5" w:rsidRDefault="00F26CAD" w:rsidP="006E0BD5">
      <w:pPr>
        <w:spacing w:after="0" w:line="240" w:lineRule="auto"/>
        <w:jc w:val="both"/>
        <w:rPr>
          <w:rFonts w:ascii="Times New Roman" w:hAnsi="Times New Roman" w:cs="Times New Roman"/>
          <w:sz w:val="24"/>
          <w:szCs w:val="24"/>
        </w:rPr>
      </w:pPr>
      <w:r w:rsidRPr="006E0BD5">
        <w:rPr>
          <w:rFonts w:ascii="Times New Roman" w:hAnsi="Times New Roman" w:cs="Times New Roman"/>
          <w:sz w:val="24"/>
          <w:szCs w:val="24"/>
        </w:rPr>
        <w:t xml:space="preserve">Atbildes uz jautājumiem par iepirkumu „Tehniskā projekta izstrāde un autoruzraudzība Ķekavas sākumskolas ēkas pārbūvei par Mākslas skolu Ķekavā, Ķekavas pagastā, Ķekavas novadā” </w:t>
      </w:r>
      <w:r w:rsidRPr="007E14E1">
        <w:rPr>
          <w:rFonts w:ascii="Times New Roman" w:hAnsi="Times New Roman" w:cs="Times New Roman"/>
          <w:i/>
          <w:iCs/>
          <w:sz w:val="24"/>
          <w:szCs w:val="24"/>
        </w:rPr>
        <w:t>(ID Nr.ĶND/2014/35)</w:t>
      </w:r>
    </w:p>
    <w:p w:rsidR="00F26CAD" w:rsidRDefault="00F26CAD" w:rsidP="006E0BD5">
      <w:pPr>
        <w:pStyle w:val="msolistparagraph0"/>
        <w:ind w:left="360"/>
        <w:jc w:val="both"/>
        <w:rPr>
          <w:rFonts w:ascii="Times New Roman" w:hAnsi="Times New Roman" w:cs="Times New Roman"/>
          <w:sz w:val="24"/>
          <w:szCs w:val="24"/>
        </w:rPr>
      </w:pPr>
    </w:p>
    <w:p w:rsidR="00F26CAD" w:rsidRPr="006E0BD5" w:rsidRDefault="00F26CAD" w:rsidP="006E0BD5">
      <w:pPr>
        <w:pStyle w:val="msolistparagraph0"/>
        <w:numPr>
          <w:ilvl w:val="0"/>
          <w:numId w:val="3"/>
        </w:numPr>
        <w:jc w:val="both"/>
        <w:rPr>
          <w:rFonts w:ascii="Times New Roman" w:hAnsi="Times New Roman" w:cs="Times New Roman"/>
          <w:i/>
          <w:iCs/>
          <w:sz w:val="24"/>
          <w:szCs w:val="24"/>
        </w:rPr>
      </w:pPr>
      <w:r w:rsidRPr="006E0BD5">
        <w:rPr>
          <w:rFonts w:ascii="Times New Roman" w:hAnsi="Times New Roman" w:cs="Times New Roman"/>
          <w:i/>
          <w:iCs/>
          <w:sz w:val="24"/>
          <w:szCs w:val="24"/>
        </w:rPr>
        <w:t>Cik pamatots un likumisks ir darba uzdevuma punkts ‘’5.4. Projektētājam jānodrošina pozitīvs neatkarīgās būvekspertīzes slēdziens par tehniskā projekta risinājumiem visām daļām.’’ - projektētājs nevar nodrošināt to, ka trešā puse sniegs konkrētu lēmumu, kā arī dažāda noteikumu interpretēšana var novest pie negatīva slēdziena un nav iespējams izslēgt, ka normatīvu interpretācijā kļūdījies ir eksperts.</w:t>
      </w:r>
    </w:p>
    <w:p w:rsidR="00F26CAD" w:rsidRDefault="00F26CAD" w:rsidP="006E0BD5">
      <w:pPr>
        <w:pStyle w:val="msolistparagraph0"/>
        <w:jc w:val="both"/>
        <w:rPr>
          <w:rFonts w:ascii="Times New Roman" w:hAnsi="Times New Roman" w:cs="Times New Roman"/>
          <w:i/>
          <w:iCs/>
          <w:sz w:val="24"/>
          <w:szCs w:val="24"/>
        </w:rPr>
      </w:pPr>
      <w:r w:rsidRPr="006E0BD5">
        <w:rPr>
          <w:rFonts w:ascii="Times New Roman" w:hAnsi="Times New Roman" w:cs="Times New Roman"/>
          <w:i/>
          <w:iCs/>
          <w:sz w:val="24"/>
          <w:szCs w:val="24"/>
        </w:rPr>
        <w:t>Papildus norādīšu, ka atbilstoši spēkā esošiem noteikumiem MK 500 ‘’Vispārīgie būvnoteikumi’’ un to punktam ‘’45. Ja būvprojekta ekspertīze ir obligāta vai to pieprasa būvvalde, pamatojot ekspertīzes nepieciešamību, būvprojekta ekspertīzes veicēju izvēlas pasūtītājs, bet Būvniecības likuma 6.1 panta pirmās daļas 4. punktā noteiktajos gadījumos – Būvniecības valsts kontroles birojs (turpmāk – birojs). Līgumu par ekspertīzi slēdz un ar tā izpildi saistītos izdevumus sedz pasūtītājs.’’</w:t>
      </w:r>
    </w:p>
    <w:p w:rsidR="00F26CAD" w:rsidRPr="006E0BD5" w:rsidRDefault="00F26CAD" w:rsidP="006E0BD5">
      <w:pPr>
        <w:pStyle w:val="msolistparagraph0"/>
        <w:jc w:val="both"/>
        <w:rPr>
          <w:rFonts w:ascii="Times New Roman" w:hAnsi="Times New Roman" w:cs="Times New Roman"/>
          <w:i/>
          <w:iCs/>
          <w:sz w:val="24"/>
          <w:szCs w:val="24"/>
        </w:rPr>
      </w:pPr>
    </w:p>
    <w:p w:rsidR="00F26CAD" w:rsidRPr="006E0BD5" w:rsidRDefault="00F26CAD" w:rsidP="006E0BD5">
      <w:pPr>
        <w:pStyle w:val="ListParagraph"/>
        <w:spacing w:after="0" w:line="240" w:lineRule="auto"/>
        <w:ind w:left="360"/>
        <w:jc w:val="both"/>
        <w:rPr>
          <w:rFonts w:ascii="Times New Roman" w:hAnsi="Times New Roman" w:cs="Times New Roman"/>
          <w:sz w:val="24"/>
          <w:szCs w:val="24"/>
        </w:rPr>
      </w:pPr>
      <w:r w:rsidRPr="006E0BD5">
        <w:rPr>
          <w:rFonts w:ascii="Times New Roman" w:hAnsi="Times New Roman" w:cs="Times New Roman"/>
          <w:b/>
          <w:bCs/>
          <w:sz w:val="24"/>
          <w:szCs w:val="24"/>
        </w:rPr>
        <w:t>Atbilde:</w:t>
      </w:r>
      <w:r w:rsidRPr="006E0BD5">
        <w:rPr>
          <w:rFonts w:ascii="Times New Roman" w:hAnsi="Times New Roman" w:cs="Times New Roman"/>
          <w:sz w:val="24"/>
          <w:szCs w:val="24"/>
        </w:rPr>
        <w:t xml:space="preserve"> Projektēšanas uzdevuma 5.4.punkts „Projektētājam jānodrošina pozitīvs neatkarīgās būvekspertīzes slēdziens par tehniskā projekta risinājumiem visām daļām” nozīmē to, ka projektētājam jāizstrādā projekta dokumentācija tādā kvalitātē, lai ekspertīzes slēdziens būtu pozitīvs. Ja sākotnējais ekspertīzes slēdziens ir negatīvs vai ar piezīmēm, tad projektētājam jānovērš visas ekspertīzes slēdzienā fiksētās piezīmes un tehniskais projekts jāpilnveido panākot, ka ekspertīzes slēdzi</w:t>
      </w:r>
      <w:r>
        <w:rPr>
          <w:rFonts w:ascii="Times New Roman" w:hAnsi="Times New Roman" w:cs="Times New Roman"/>
          <w:sz w:val="24"/>
          <w:szCs w:val="24"/>
        </w:rPr>
        <w:t xml:space="preserve">ens ir pozitīvs. Projektēšanas </w:t>
      </w:r>
      <w:r w:rsidRPr="006E0BD5">
        <w:rPr>
          <w:rFonts w:ascii="Times New Roman" w:hAnsi="Times New Roman" w:cs="Times New Roman"/>
          <w:sz w:val="24"/>
          <w:szCs w:val="24"/>
        </w:rPr>
        <w:t>uzdevuma 4.4.punktā ir teikts, ka būvprojekts jānoformē atbilstoši Ministru kabineta noteikumiem Nr.529 „Ēku būvnoteikumi”. Šo noteikumu 72.punktā ir noteiktas trešās grupas ēku būvprojekta sastāvdaļas, kurās ir ietverta arī būvprojekta ekspertīze (72.7.punkts).</w:t>
      </w:r>
    </w:p>
    <w:p w:rsidR="00F26CAD" w:rsidRDefault="00F26CAD" w:rsidP="006E0BD5">
      <w:pPr>
        <w:pStyle w:val="ListParagraph"/>
        <w:spacing w:after="0" w:line="240" w:lineRule="auto"/>
        <w:ind w:left="360"/>
        <w:jc w:val="both"/>
        <w:rPr>
          <w:rFonts w:ascii="Times New Roman" w:hAnsi="Times New Roman" w:cs="Times New Roman"/>
          <w:sz w:val="24"/>
          <w:szCs w:val="24"/>
        </w:rPr>
      </w:pPr>
    </w:p>
    <w:p w:rsidR="00F26CAD" w:rsidRDefault="00F26CAD" w:rsidP="006E0BD5">
      <w:pPr>
        <w:pStyle w:val="ListParagraph"/>
        <w:numPr>
          <w:ilvl w:val="0"/>
          <w:numId w:val="3"/>
        </w:numPr>
        <w:spacing w:after="0" w:line="240" w:lineRule="auto"/>
        <w:jc w:val="both"/>
        <w:rPr>
          <w:rFonts w:ascii="Times New Roman" w:hAnsi="Times New Roman" w:cs="Times New Roman"/>
          <w:i/>
          <w:iCs/>
          <w:sz w:val="24"/>
          <w:szCs w:val="24"/>
        </w:rPr>
      </w:pPr>
      <w:r w:rsidRPr="006E0BD5">
        <w:rPr>
          <w:rFonts w:ascii="Times New Roman" w:hAnsi="Times New Roman" w:cs="Times New Roman"/>
          <w:i/>
          <w:iCs/>
          <w:sz w:val="24"/>
          <w:szCs w:val="24"/>
        </w:rPr>
        <w:t>Lūdzu precizēt darba uzdevuma punktu „5.5. Pasūtītājam nododams Ķekavas novada pašvaldības Būvvaldē akceptēts Objekta tehniskais projekts pilnā apjomā 6 eksemplāros, t.sk. 1 eksemplārs Būvvaldei ar saskaņojumu un akcepta oriģināliem, kā arī iesniegt 1 projekta eksemplāru elektroniskā formā (dwg, pdf, jpeg).’’ – atbilstoši spēkā esošiem nosacījumiem būvvaldes nesniedz akceptu, bet izsniedz būvatļauju/ būvatļauju ar nosacījumiem.</w:t>
      </w:r>
    </w:p>
    <w:p w:rsidR="00F26CAD" w:rsidRPr="006E0BD5" w:rsidRDefault="00F26CAD" w:rsidP="007E14E1">
      <w:pPr>
        <w:pStyle w:val="ListParagraph"/>
        <w:spacing w:after="0" w:line="240" w:lineRule="auto"/>
        <w:ind w:left="360"/>
        <w:jc w:val="both"/>
        <w:rPr>
          <w:rFonts w:ascii="Times New Roman" w:hAnsi="Times New Roman" w:cs="Times New Roman"/>
          <w:i/>
          <w:iCs/>
          <w:sz w:val="24"/>
          <w:szCs w:val="24"/>
        </w:rPr>
      </w:pPr>
    </w:p>
    <w:p w:rsidR="00F26CAD" w:rsidRPr="006E0BD5" w:rsidRDefault="00F26CAD" w:rsidP="006E0BD5">
      <w:pPr>
        <w:pStyle w:val="ListParagraph"/>
        <w:spacing w:after="0" w:line="240" w:lineRule="auto"/>
        <w:ind w:left="360"/>
        <w:jc w:val="both"/>
        <w:rPr>
          <w:rFonts w:ascii="Times New Roman" w:hAnsi="Times New Roman" w:cs="Times New Roman"/>
          <w:sz w:val="24"/>
          <w:szCs w:val="24"/>
        </w:rPr>
      </w:pPr>
      <w:r w:rsidRPr="006E0BD5">
        <w:rPr>
          <w:rFonts w:ascii="Times New Roman" w:hAnsi="Times New Roman" w:cs="Times New Roman"/>
          <w:b/>
          <w:bCs/>
          <w:sz w:val="24"/>
          <w:szCs w:val="24"/>
        </w:rPr>
        <w:t>Atbilde:</w:t>
      </w:r>
      <w:r w:rsidRPr="006E0BD5">
        <w:rPr>
          <w:rFonts w:ascii="Times New Roman" w:hAnsi="Times New Roman" w:cs="Times New Roman"/>
          <w:sz w:val="24"/>
          <w:szCs w:val="24"/>
        </w:rPr>
        <w:t xml:space="preserve"> Darba uzdevuma 5.5.punktā minētais projekta akcepts nozīmē būvvaldes attiecīga satura zīmogu uz projekta ģenerālplāna lapas, kas tiek likts paralēli būvatļaujā veicamajai atzīmei par projektēšanas nosacījumu izpildi, jo saskaņā ar Ministru kabineta noteikumiem Nr.529 „Ēku būvnoteikumi” būvvalde pieņem lēmumu par būvniecības ieceres akceptu.</w:t>
      </w:r>
    </w:p>
    <w:p w:rsidR="00F26CAD" w:rsidRDefault="00F26CAD" w:rsidP="006E0BD5">
      <w:pPr>
        <w:pStyle w:val="ListParagraph"/>
        <w:spacing w:after="0" w:line="240" w:lineRule="auto"/>
        <w:ind w:left="360"/>
        <w:jc w:val="both"/>
        <w:rPr>
          <w:rFonts w:ascii="Times New Roman" w:hAnsi="Times New Roman" w:cs="Times New Roman"/>
          <w:sz w:val="24"/>
          <w:szCs w:val="24"/>
        </w:rPr>
      </w:pPr>
    </w:p>
    <w:p w:rsidR="00F26CAD" w:rsidRDefault="00F26CAD" w:rsidP="006E0BD5">
      <w:pPr>
        <w:pStyle w:val="ListParagraph"/>
        <w:numPr>
          <w:ilvl w:val="0"/>
          <w:numId w:val="3"/>
        </w:numPr>
        <w:spacing w:after="0" w:line="240" w:lineRule="auto"/>
        <w:jc w:val="both"/>
        <w:rPr>
          <w:rFonts w:ascii="Times New Roman" w:hAnsi="Times New Roman" w:cs="Times New Roman"/>
          <w:i/>
          <w:iCs/>
          <w:sz w:val="24"/>
          <w:szCs w:val="24"/>
        </w:rPr>
      </w:pPr>
      <w:r w:rsidRPr="006E0BD5">
        <w:rPr>
          <w:rFonts w:ascii="Times New Roman" w:hAnsi="Times New Roman" w:cs="Times New Roman"/>
          <w:i/>
          <w:iCs/>
          <w:sz w:val="24"/>
          <w:szCs w:val="24"/>
        </w:rPr>
        <w:t>Lūdzu precizēt iepirkuma nolikuma punktu 10.2, kurā minēta prasība ‘’</w:t>
      </w:r>
      <w:r w:rsidRPr="006E0BD5">
        <w:rPr>
          <w:rFonts w:ascii="Times New Roman" w:hAnsi="Times New Roman" w:cs="Times New Roman"/>
          <w:i/>
          <w:iCs/>
          <w:sz w:val="24"/>
          <w:szCs w:val="24"/>
          <w:u w:val="single"/>
        </w:rPr>
        <w:t>sabiedriski nozīmīgas publiskas ēka’’</w:t>
      </w:r>
      <w:r w:rsidRPr="006E0BD5">
        <w:rPr>
          <w:rFonts w:ascii="Times New Roman" w:hAnsi="Times New Roman" w:cs="Times New Roman"/>
          <w:i/>
          <w:iCs/>
          <w:sz w:val="24"/>
          <w:szCs w:val="24"/>
        </w:rPr>
        <w:t xml:space="preserve"> – sabiedriski nozīmīgas ēkas definīcija spēkā esošajos noteikumos nav pieejama.</w:t>
      </w:r>
    </w:p>
    <w:p w:rsidR="00F26CAD" w:rsidRPr="006E0BD5" w:rsidRDefault="00F26CAD" w:rsidP="007E14E1">
      <w:pPr>
        <w:pStyle w:val="ListParagraph"/>
        <w:spacing w:after="0" w:line="240" w:lineRule="auto"/>
        <w:ind w:left="360"/>
        <w:jc w:val="both"/>
        <w:rPr>
          <w:rFonts w:ascii="Times New Roman" w:hAnsi="Times New Roman" w:cs="Times New Roman"/>
          <w:i/>
          <w:iCs/>
          <w:sz w:val="24"/>
          <w:szCs w:val="24"/>
        </w:rPr>
      </w:pPr>
    </w:p>
    <w:p w:rsidR="00F26CAD" w:rsidRPr="00DD40F9" w:rsidRDefault="00F26CAD" w:rsidP="00DD40F9">
      <w:pPr>
        <w:rPr>
          <w:rFonts w:ascii="Times New Roman" w:hAnsi="Times New Roman" w:cs="Times New Roman"/>
          <w:sz w:val="24"/>
          <w:szCs w:val="24"/>
        </w:rPr>
      </w:pPr>
      <w:r w:rsidRPr="006E0BD5">
        <w:rPr>
          <w:rFonts w:ascii="Times New Roman" w:hAnsi="Times New Roman" w:cs="Times New Roman"/>
          <w:b/>
          <w:bCs/>
          <w:sz w:val="24"/>
          <w:szCs w:val="24"/>
        </w:rPr>
        <w:t>Atbilde:</w:t>
      </w:r>
      <w:r w:rsidRPr="006E0BD5">
        <w:rPr>
          <w:rFonts w:ascii="Times New Roman" w:hAnsi="Times New Roman" w:cs="Times New Roman"/>
          <w:sz w:val="24"/>
          <w:szCs w:val="24"/>
        </w:rPr>
        <w:t xml:space="preserve"> </w:t>
      </w:r>
      <w:r w:rsidRPr="00DD40F9">
        <w:rPr>
          <w:rFonts w:ascii="Times New Roman" w:hAnsi="Times New Roman" w:cs="Times New Roman"/>
          <w:sz w:val="24"/>
          <w:szCs w:val="24"/>
          <w:lang w:eastAsia="lv-LV"/>
        </w:rPr>
        <w:t>Informējam, ka pretendentiem, izstrādājot un iesniedzot piedāvājumu iepirkuma procedūrā, nolikuma 10.1., 10.2., 10.3. un 10.5.apakšpunktos minētais teksts „sabiedriski nozīmīgas publiskas ēkas” vai „sabiedrisko ēku” vai „sabiedriski nozīmīgas būves” ir jāpielīdzina Ministru kabineta  2014.gada 19.augusta noteikumu Nr.500 „Vispārīgie būvnoteikumi” 1.pielikumā noteiktajai III ēku iedalījuma grupai, sadaļā</w:t>
      </w:r>
      <w:r w:rsidRPr="00DD40F9">
        <w:rPr>
          <w:rFonts w:ascii="Times New Roman" w:hAnsi="Times New Roman" w:cs="Times New Roman"/>
          <w:b/>
          <w:bCs/>
          <w:sz w:val="24"/>
          <w:szCs w:val="24"/>
          <w:lang w:eastAsia="lv-LV"/>
        </w:rPr>
        <w:t>, kas attiecas uz cilvēku skaitu publiskajā ēkā</w:t>
      </w:r>
      <w:r w:rsidRPr="00DD40F9">
        <w:rPr>
          <w:rFonts w:ascii="Times New Roman" w:hAnsi="Times New Roman" w:cs="Times New Roman"/>
          <w:sz w:val="24"/>
          <w:szCs w:val="24"/>
          <w:lang w:eastAsia="lv-LV"/>
        </w:rPr>
        <w:t xml:space="preserve">. </w:t>
      </w:r>
    </w:p>
    <w:p w:rsidR="00F26CAD" w:rsidRPr="00DD40F9" w:rsidRDefault="00F26CAD" w:rsidP="00DD40F9">
      <w:pPr>
        <w:spacing w:after="0" w:line="240" w:lineRule="auto"/>
        <w:rPr>
          <w:rFonts w:ascii="Times New Roman" w:hAnsi="Times New Roman" w:cs="Times New Roman"/>
          <w:sz w:val="24"/>
          <w:szCs w:val="24"/>
          <w:lang w:eastAsia="lv-LV"/>
        </w:rPr>
      </w:pPr>
    </w:p>
    <w:p w:rsidR="00F26CAD" w:rsidRPr="00DD40F9" w:rsidRDefault="00F26CAD" w:rsidP="00DD40F9">
      <w:pPr>
        <w:spacing w:after="0" w:line="240" w:lineRule="auto"/>
        <w:rPr>
          <w:rFonts w:ascii="Times New Roman" w:hAnsi="Times New Roman" w:cs="Times New Roman"/>
          <w:sz w:val="24"/>
          <w:szCs w:val="24"/>
          <w:lang w:eastAsia="lv-LV"/>
        </w:rPr>
      </w:pPr>
      <w:r w:rsidRPr="00DD40F9">
        <w:rPr>
          <w:rFonts w:ascii="Times New Roman" w:hAnsi="Times New Roman" w:cs="Times New Roman"/>
          <w:sz w:val="24"/>
          <w:szCs w:val="24"/>
          <w:lang w:eastAsia="lv-LV"/>
        </w:rPr>
        <w:t>Papildus iepriekš minētajam, norādām, ka iepirkuma procedūras nolikumā minētā sabiedriski nozīmīgā publiskā ēka ir minēta Ministru kabineta 2008.gada 21.jūlija noteikumu Nr.567 „Noteikumi par Latvijas būvnormatīvu LBN 208-08 “Publiskas ēkas un būves”” 6.punktā, kas būs jāievēro tam pretendentam, kurš tiks atzīts par uzvarētāju iepirkuma procedūrā un ar kuru tiks noslēgts līgums par Tehniskā projekta izstrādi un autoruzraudzību Ķekavas sākumskolas ēkas pārbūvei par Mākslas skolu Ķekavā, Ķekavas pagastā, Ķekavas novadā.</w:t>
      </w:r>
    </w:p>
    <w:p w:rsidR="00F26CAD" w:rsidRPr="006E0BD5" w:rsidRDefault="00F26CAD" w:rsidP="006E0BD5">
      <w:pPr>
        <w:pStyle w:val="ListParagraph"/>
        <w:spacing w:after="0" w:line="240" w:lineRule="auto"/>
        <w:ind w:left="360"/>
        <w:jc w:val="both"/>
        <w:rPr>
          <w:rFonts w:ascii="Times New Roman" w:hAnsi="Times New Roman" w:cs="Times New Roman"/>
          <w:sz w:val="24"/>
          <w:szCs w:val="24"/>
        </w:rPr>
      </w:pPr>
    </w:p>
    <w:sectPr w:rsidR="00F26CAD" w:rsidRPr="006E0BD5" w:rsidSect="006E0BD5">
      <w:pgSz w:w="11906" w:h="16838"/>
      <w:pgMar w:top="1440" w:right="92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660"/>
    <w:multiLevelType w:val="hybridMultilevel"/>
    <w:tmpl w:val="D87472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7E1543D"/>
    <w:multiLevelType w:val="hybridMultilevel"/>
    <w:tmpl w:val="B0D09F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31F83FB2"/>
    <w:multiLevelType w:val="multilevel"/>
    <w:tmpl w:val="BCACC1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C8E2617"/>
    <w:multiLevelType w:val="hybridMultilevel"/>
    <w:tmpl w:val="C08A10EE"/>
    <w:lvl w:ilvl="0" w:tplc="E6F83A3A">
      <w:start w:val="1"/>
      <w:numFmt w:val="decimal"/>
      <w:lvlText w:val="%1."/>
      <w:lvlJc w:val="left"/>
      <w:pPr>
        <w:tabs>
          <w:tab w:val="num" w:pos="720"/>
        </w:tabs>
        <w:ind w:left="720" w:hanging="360"/>
      </w:pPr>
      <w:rPr>
        <w:rFonts w:hint="default"/>
        <w:b/>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F0E"/>
    <w:rsid w:val="000548EA"/>
    <w:rsid w:val="001975B8"/>
    <w:rsid w:val="0021354A"/>
    <w:rsid w:val="002A3514"/>
    <w:rsid w:val="00362CAF"/>
    <w:rsid w:val="00396D1D"/>
    <w:rsid w:val="004616D1"/>
    <w:rsid w:val="004C27B4"/>
    <w:rsid w:val="006337C1"/>
    <w:rsid w:val="006E0BD5"/>
    <w:rsid w:val="007E14E1"/>
    <w:rsid w:val="008115D8"/>
    <w:rsid w:val="009C2FE5"/>
    <w:rsid w:val="00A23F35"/>
    <w:rsid w:val="00AA0526"/>
    <w:rsid w:val="00AF7BC2"/>
    <w:rsid w:val="00B35355"/>
    <w:rsid w:val="00C36845"/>
    <w:rsid w:val="00CE6FF4"/>
    <w:rsid w:val="00D236C0"/>
    <w:rsid w:val="00D55691"/>
    <w:rsid w:val="00D86F0E"/>
    <w:rsid w:val="00DD40F9"/>
    <w:rsid w:val="00E30272"/>
    <w:rsid w:val="00F05028"/>
    <w:rsid w:val="00F067D7"/>
    <w:rsid w:val="00F11E09"/>
    <w:rsid w:val="00F26CAD"/>
    <w:rsid w:val="00FB3138"/>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1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6F0E"/>
    <w:pPr>
      <w:ind w:left="720"/>
    </w:pPr>
  </w:style>
  <w:style w:type="paragraph" w:customStyle="1" w:styleId="msolistparagraph0">
    <w:name w:val="msolistparagraph"/>
    <w:basedOn w:val="Normal"/>
    <w:uiPriority w:val="99"/>
    <w:rsid w:val="00E30272"/>
    <w:pPr>
      <w:spacing w:after="0" w:line="240" w:lineRule="auto"/>
      <w:ind w:left="720"/>
    </w:pPr>
  </w:style>
</w:styles>
</file>

<file path=word/webSettings.xml><?xml version="1.0" encoding="utf-8"?>
<w:webSettings xmlns:r="http://schemas.openxmlformats.org/officeDocument/2006/relationships" xmlns:w="http://schemas.openxmlformats.org/wordprocessingml/2006/main">
  <w:divs>
    <w:div w:id="1417097476">
      <w:marLeft w:val="0"/>
      <w:marRight w:val="0"/>
      <w:marTop w:val="0"/>
      <w:marBottom w:val="0"/>
      <w:divBdr>
        <w:top w:val="none" w:sz="0" w:space="0" w:color="auto"/>
        <w:left w:val="none" w:sz="0" w:space="0" w:color="auto"/>
        <w:bottom w:val="none" w:sz="0" w:space="0" w:color="auto"/>
        <w:right w:val="none" w:sz="0" w:space="0" w:color="auto"/>
      </w:divBdr>
    </w:div>
    <w:div w:id="141709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2452</Words>
  <Characters>1399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Atbildes uz Gunta Lēmaņa jautājumiem par izsludināto iepirkumu „Tehniskā projekta izstrāde un autoruzraudzība Ķekavas sākumskolas ēkas pārbūvei par Mākslas skolu Ķekavā, Ķekavas pagastā, Ķekavas novadā</dc:title>
  <dc:subject/>
  <dc:creator>rolands.zitars</dc:creator>
  <cp:keywords/>
  <dc:description/>
  <cp:lastModifiedBy>ilga.vieglina</cp:lastModifiedBy>
  <cp:revision>5</cp:revision>
  <cp:lastPrinted>2014-11-26T14:03:00Z</cp:lastPrinted>
  <dcterms:created xsi:type="dcterms:W3CDTF">2014-11-26T14:10:00Z</dcterms:created>
  <dcterms:modified xsi:type="dcterms:W3CDTF">2014-11-27T10:42:00Z</dcterms:modified>
</cp:coreProperties>
</file>