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3A" w:rsidRPr="002D30BF" w:rsidRDefault="00F0223A" w:rsidP="00E916E7">
      <w:pPr>
        <w:pStyle w:val="Heading4"/>
        <w:spacing w:before="0" w:beforeAutospacing="0" w:after="0" w:afterAutospacing="0"/>
        <w:jc w:val="center"/>
        <w:rPr>
          <w:sz w:val="28"/>
          <w:szCs w:val="28"/>
        </w:rPr>
      </w:pPr>
      <w:r w:rsidRPr="002D30BF">
        <w:rPr>
          <w:sz w:val="28"/>
          <w:szCs w:val="28"/>
        </w:rPr>
        <w:t>BŪVJU IEDALĪJUMS GRUPĀS ATBILSTOŠI</w:t>
      </w:r>
      <w:r w:rsidR="00E916E7" w:rsidRPr="002D30BF">
        <w:rPr>
          <w:sz w:val="28"/>
          <w:szCs w:val="28"/>
        </w:rPr>
        <w:t xml:space="preserve"> </w:t>
      </w:r>
      <w:r w:rsidRPr="002D30BF">
        <w:rPr>
          <w:sz w:val="28"/>
          <w:szCs w:val="28"/>
        </w:rPr>
        <w:t>BŪVNIECĪBAS PROCESAM</w:t>
      </w:r>
    </w:p>
    <w:p w:rsidR="00F0223A" w:rsidRPr="00E916E7" w:rsidRDefault="00F0223A" w:rsidP="00F0223A">
      <w:pPr>
        <w:pStyle w:val="Normal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F0223A" w:rsidRPr="00F0223A" w:rsidRDefault="00F0223A" w:rsidP="00F0223A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223A">
        <w:rPr>
          <w:b/>
          <w:bCs/>
          <w:sz w:val="28"/>
          <w:szCs w:val="28"/>
        </w:rPr>
        <w:t>1. Ēku iedalījums grupās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40"/>
        <w:gridCol w:w="5538"/>
        <w:gridCol w:w="2172"/>
        <w:gridCol w:w="5400"/>
      </w:tblGrid>
      <w:tr w:rsidR="002D30BF" w:rsidRPr="002D30BF" w:rsidTr="002D30BF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>
            <w:pPr>
              <w:jc w:val="center"/>
            </w:pPr>
            <w:r w:rsidRPr="002D30BF">
              <w:t>Iedalījuma kritērijs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>
            <w:pPr>
              <w:jc w:val="center"/>
            </w:pPr>
            <w:r w:rsidRPr="002D30BF">
              <w:t>I grupa</w:t>
            </w:r>
            <w:r w:rsidRPr="002D30BF">
              <w:rPr>
                <w:vertAlign w:val="superscript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>
            <w:pPr>
              <w:jc w:val="center"/>
            </w:pPr>
            <w:r w:rsidRPr="002D30BF">
              <w:t>II grupa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>
            <w:pPr>
              <w:jc w:val="center"/>
            </w:pPr>
            <w:r w:rsidRPr="002D30BF">
              <w:t>III grupa</w:t>
            </w:r>
            <w:r w:rsidRPr="002D30BF">
              <w:rPr>
                <w:vertAlign w:val="superscript"/>
              </w:rPr>
              <w:t>1</w:t>
            </w:r>
          </w:p>
        </w:tc>
      </w:tr>
      <w:tr w:rsidR="002D30BF" w:rsidRPr="002D30BF" w:rsidTr="002D30BF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1. Stāvu skaits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Ēkas, kuras neietilpst</w:t>
            </w:r>
            <w:r w:rsidRPr="002D30BF">
              <w:br/>
              <w:t>1. vai 3. grupā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 xml:space="preserve">1) Ēka, kurai ir vairāk nekā pieci virszemes stāvi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2) Ēka, kurai ir vairāk nekā viens apakšzemes stāvs</w:t>
            </w:r>
          </w:p>
        </w:tc>
      </w:tr>
      <w:tr w:rsidR="002D30BF" w:rsidRPr="002D30BF" w:rsidTr="002D30BF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2. Cilvēku skaits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Publiska ēka, kurā paredzēts vienlaikus uzturēties vairāk nekā 100 cilvēkiem</w:t>
            </w:r>
          </w:p>
        </w:tc>
      </w:tr>
      <w:tr w:rsidR="002D30BF" w:rsidRPr="002D30BF" w:rsidTr="002D30BF">
        <w:trPr>
          <w:trHeight w:val="2940"/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3. Platība, apbūves laukums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1) </w:t>
            </w:r>
            <w:proofErr w:type="spellStart"/>
            <w:r w:rsidRPr="002D30BF">
              <w:t>Mazēka</w:t>
            </w:r>
            <w:proofErr w:type="spellEnd"/>
            <w:r w:rsidRPr="002D30BF">
              <w:t xml:space="preserve"> (vienstāva ēka, t. sk. nojume un palīgēka, kuras apbūves laukums nav lielāks par 25 m</w:t>
            </w:r>
            <w:r w:rsidRPr="002D30BF">
              <w:rPr>
                <w:vertAlign w:val="superscript"/>
              </w:rPr>
              <w:t>2</w:t>
            </w:r>
            <w:r w:rsidRPr="002D30BF">
              <w:t xml:space="preserve">)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2) Ārpus pilsētu un ciemu teritorijām vienstāva lauku saimniecību nedzīvojamā ēka, kura nav paredzēta dzīvnieku turēšanai, un palīgēka (piemēram, saimniecības ēka, noliktava, šķūnis, pagrabs, nojume, garāža) ar apbūves laukumu līdz 60 m</w:t>
            </w:r>
            <w:r w:rsidRPr="002D30BF">
              <w:rPr>
                <w:vertAlign w:val="superscript"/>
              </w:rPr>
              <w:t>2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3) Atsevišķa rūpnieciski izgatavota vienstāva ēka ar apbūves laukumu līdz 60 m</w:t>
            </w:r>
            <w:r w:rsidRPr="002D30BF">
              <w:rPr>
                <w:vertAlign w:val="superscript"/>
              </w:rPr>
              <w:t>2</w:t>
            </w:r>
            <w:r w:rsidRPr="002D30BF">
              <w:t>, tai skaitā konteinertipa ēka vai būvizstrādājums, izņemot ēku, kurā tiek izvietota bīstamā iekārta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1) Rūpnieciskās ražošanas ēka, kuras kopējā platība ir lielāka par 1000 m</w:t>
            </w:r>
            <w:r w:rsidRPr="002D30BF">
              <w:rPr>
                <w:vertAlign w:val="superscript"/>
              </w:rPr>
              <w:t>2</w:t>
            </w:r>
            <w:r w:rsidRPr="002D30BF">
              <w:t xml:space="preserve">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2) Noliktavas ēka, kurā paredzēta ugunsslodze virs 600 MJ/m</w:t>
            </w:r>
            <w:r w:rsidRPr="002D30BF">
              <w:rPr>
                <w:vertAlign w:val="superscript"/>
              </w:rPr>
              <w:t>2</w:t>
            </w:r>
            <w:r w:rsidRPr="002D30BF">
              <w:t xml:space="preserve"> vai kuras kopējā platība ir lielāka par 2000 m</w:t>
            </w:r>
            <w:r w:rsidRPr="002D30BF">
              <w:rPr>
                <w:vertAlign w:val="superscript"/>
              </w:rPr>
              <w:t>2</w:t>
            </w:r>
          </w:p>
        </w:tc>
      </w:tr>
      <w:tr w:rsidR="002D30BF" w:rsidRPr="002D30BF" w:rsidTr="002D30BF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 xml:space="preserve">4. </w:t>
            </w:r>
            <w:proofErr w:type="spellStart"/>
            <w:r w:rsidRPr="002D30BF">
              <w:t>Būvtilpums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Ūdens rezervuārs (pazemes un virszemes) līdz 50 m</w:t>
            </w:r>
            <w:r w:rsidRPr="002D30BF">
              <w:rPr>
                <w:vertAlign w:val="superscript"/>
              </w:rPr>
              <w:t>3</w:t>
            </w:r>
            <w:r w:rsidRPr="002D30BF">
              <w:t xml:space="preserve"> ārpus pilsētu un ciemu teritorijām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>
            <w:r w:rsidRPr="002D30BF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 xml:space="preserve">1) Ēka vai rezervuārs šķidru, gāzveida vielu vai beramu materiālu uzglabāšanai, pārkraušanai vai pārstrādei ar </w:t>
            </w:r>
            <w:proofErr w:type="spellStart"/>
            <w:r w:rsidRPr="002D30BF">
              <w:t>būvtilpumu</w:t>
            </w:r>
            <w:proofErr w:type="spellEnd"/>
            <w:r w:rsidRPr="002D30BF">
              <w:t xml:space="preserve"> virs 5000 m</w:t>
            </w:r>
            <w:r w:rsidRPr="002D30BF">
              <w:rPr>
                <w:vertAlign w:val="superscript"/>
              </w:rPr>
              <w:t>3</w:t>
            </w:r>
            <w:r w:rsidRPr="002D30BF">
              <w:t xml:space="preserve">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2) Ūdens rezervuārs (pazemes un virszemes) virs 1000 m</w:t>
            </w:r>
            <w:r w:rsidRPr="002D30BF">
              <w:rPr>
                <w:vertAlign w:val="superscript"/>
              </w:rPr>
              <w:t>3</w:t>
            </w:r>
          </w:p>
        </w:tc>
      </w:tr>
      <w:tr w:rsidR="002D30BF" w:rsidRPr="002D30BF" w:rsidTr="002D30BF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5. Jauda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 xml:space="preserve">1) Kompaktā (konteinertipa) transformatoru apakšstacija un sadales ietaise ar nominālo spriegumu līdz 20 kV ārpus pilsētām, ja tā atrodas ārpus esošās spēkstacijas un apakšstacijas teritorijas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2) Elektroietaišu ēka ar pamatiem, mazāka par 60 m</w:t>
            </w:r>
            <w:r w:rsidRPr="002D30BF">
              <w:rPr>
                <w:vertAlign w:val="superscript"/>
              </w:rPr>
              <w:t>2</w:t>
            </w:r>
            <w:r w:rsidRPr="002D30BF">
              <w:t>, ārpus pilsētām un ciemiem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 xml:space="preserve">1) Katlumāja un elektroenerģijas apgādes ēka ar siltuma jaudu, lielāku par 2 MW, un/vai elektrisko jaudu, lielāku par 2 MW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2) Slēgtā transformatoru apakšstaciju ēka ar 110 kV un augstāku spriegumu</w:t>
            </w:r>
          </w:p>
        </w:tc>
      </w:tr>
    </w:tbl>
    <w:p w:rsidR="002D30BF" w:rsidRPr="002D30BF" w:rsidRDefault="002D30BF" w:rsidP="002D30BF">
      <w:pPr>
        <w:spacing w:before="100" w:beforeAutospacing="1" w:after="100" w:afterAutospacing="1"/>
      </w:pPr>
      <w:r w:rsidRPr="002D30BF">
        <w:t>Piezīme</w:t>
      </w:r>
      <w:r>
        <w:t xml:space="preserve">: </w:t>
      </w:r>
      <w:r w:rsidRPr="002D30BF">
        <w:rPr>
          <w:vertAlign w:val="superscript"/>
        </w:rPr>
        <w:t>1</w:t>
      </w:r>
      <w:r w:rsidRPr="002D30BF">
        <w:t> Lai noteiktu, vai ēka pieder pie konkrētās grupas ēkām, jābūt spēkā vienai no minētajām klasifikācijas pazīmēm.</w:t>
      </w:r>
    </w:p>
    <w:p w:rsidR="002D30BF" w:rsidRPr="002D30BF" w:rsidRDefault="002D30BF" w:rsidP="002D30BF">
      <w:pPr>
        <w:spacing w:before="100" w:beforeAutospacing="1" w:after="100" w:afterAutospacing="1"/>
        <w:jc w:val="center"/>
      </w:pPr>
      <w:r w:rsidRPr="002D30BF">
        <w:rPr>
          <w:b/>
          <w:bCs/>
        </w:rPr>
        <w:lastRenderedPageBreak/>
        <w:t>2. Inženierbūvju iedalījums grupās</w:t>
      </w:r>
      <w:r w:rsidRPr="002D30BF">
        <w:rPr>
          <w:b/>
          <w:bCs/>
          <w:vertAlign w:val="superscript"/>
        </w:rPr>
        <w:t>2,3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93"/>
        <w:gridCol w:w="5232"/>
        <w:gridCol w:w="2325"/>
        <w:gridCol w:w="5400"/>
      </w:tblGrid>
      <w:tr w:rsidR="002D30BF" w:rsidRPr="002D30BF" w:rsidTr="002D30BF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>
            <w:pPr>
              <w:jc w:val="center"/>
            </w:pPr>
            <w:r w:rsidRPr="002D30BF">
              <w:t>Speciālie būvnoteikumi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>
            <w:pPr>
              <w:jc w:val="center"/>
            </w:pPr>
            <w:r w:rsidRPr="002D30BF">
              <w:t>I grupa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>
            <w:pPr>
              <w:jc w:val="center"/>
            </w:pPr>
            <w:r w:rsidRPr="002D30BF">
              <w:t>II grupa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>
            <w:pPr>
              <w:jc w:val="center"/>
            </w:pPr>
            <w:r w:rsidRPr="002D30BF">
              <w:t>III grupa</w:t>
            </w:r>
          </w:p>
        </w:tc>
      </w:tr>
      <w:tr w:rsidR="002D30BF" w:rsidRPr="002D30BF" w:rsidTr="002D30BF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1. Autoceļi un ielas</w:t>
            </w:r>
            <w:r w:rsidRPr="002D30BF">
              <w:rPr>
                <w:vertAlign w:val="superscript"/>
              </w:rPr>
              <w:t>4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 xml:space="preserve">1) Māju ceļš, kā arī pieslēgums esošajam ielu tīklam (piebrauktuve vai iebrauktuve), izņemot valsts autoceļu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2) Satiksmes organizācijas un kontroles (uzraudzības) tehniskie līdzekļi</w:t>
            </w:r>
          </w:p>
        </w:tc>
        <w:tc>
          <w:tcPr>
            <w:tcW w:w="7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Inženierbūves, kuras neietilpst 1. vai 3. grupā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 xml:space="preserve">1) Automaģistrāles un ātrsatiksmes autoceļi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2) Tilts ar laidumu 2 m un vairāk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3) Autoceļa caurteka ar ailas platumu 2 m un vairāk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4) Tunelis</w:t>
            </w:r>
          </w:p>
        </w:tc>
      </w:tr>
      <w:tr w:rsidR="002D30BF" w:rsidRPr="002D30BF" w:rsidTr="002D30BF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2. Dzelzceļa būves (valsts, pašvaldību un privātās)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Dzelzceļa gājēju pāreja un dzelzceļa tehnoloģiskā pārbrauktuve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/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 xml:space="preserve">1) Publiskās lietošanas dzelzceļš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2) Tilts (arī viadukts un ceļu pārvads)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3) Tunelis</w:t>
            </w:r>
          </w:p>
        </w:tc>
      </w:tr>
      <w:tr w:rsidR="002D30BF" w:rsidRPr="002D30BF" w:rsidTr="002D30BF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3. Elektronisko sakaru būves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Inženiertīklu pievads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/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 xml:space="preserve">1) Tornis, augstāks par 100 m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2) Masts, augstāks par 100 m</w:t>
            </w:r>
          </w:p>
        </w:tc>
      </w:tr>
      <w:tr w:rsidR="002D30BF" w:rsidRPr="002D30BF" w:rsidTr="002D30BF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4. Enerģijas ražošanas, pārvades un sadales būves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 xml:space="preserve">1) Elektrotīkls ar nominālo spriegumu līdz 20 kV, tai skaitā elektroapgādes </w:t>
            </w:r>
            <w:proofErr w:type="spellStart"/>
            <w:r w:rsidRPr="002D30BF">
              <w:t>sadalnes</w:t>
            </w:r>
            <w:proofErr w:type="spellEnd"/>
            <w:r w:rsidRPr="002D30BF">
              <w:t xml:space="preserve"> (piemēram, uzskaites, </w:t>
            </w:r>
            <w:proofErr w:type="spellStart"/>
            <w:r w:rsidRPr="002D30BF">
              <w:t>relejaizsardzības</w:t>
            </w:r>
            <w:proofErr w:type="spellEnd"/>
            <w:r w:rsidRPr="002D30BF">
              <w:t xml:space="preserve">, kabeļu komutācijas), komutācijas un aizsardzības iekārtas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2) Inženiertīklu pievads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/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 xml:space="preserve">1) Elektropārvades līnija ar nominālo spriegumu 110 kV un augstāku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2) Apakšstacija (izņemot slēgtās transformatoru apakšstaciju ēkas) ar 110 kV spriegumu un augstāku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3) Hidroelektrostacija ar jaudu virs 2 MW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4) Spēkstaciju būve ar jaudu virs 20 kW, tai skaitā vēja elektrostacija (vēja parks)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5) Dūmenis virs 60 m</w:t>
            </w:r>
          </w:p>
        </w:tc>
      </w:tr>
      <w:tr w:rsidR="002D30BF" w:rsidRPr="002D30BF" w:rsidTr="002D30BF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5. Hidrotehniskās un meliorācijas būves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 xml:space="preserve">1) Viena īpašuma meliorācijas sistēma vai atsevišķa būve, ierīce </w:t>
            </w:r>
          </w:p>
          <w:p w:rsidR="002D30BF" w:rsidRDefault="002D30BF" w:rsidP="002D30BF">
            <w:pPr>
              <w:spacing w:before="100" w:beforeAutospacing="1" w:after="100" w:afterAutospacing="1"/>
            </w:pPr>
            <w:r w:rsidRPr="002D30BF">
              <w:t>2) Rakts dīķis ar virsmas laukumu līdz 0,5 ha platībā</w:t>
            </w:r>
          </w:p>
          <w:p w:rsidR="002D30BF" w:rsidRDefault="002D30BF" w:rsidP="002D30BF">
            <w:pPr>
              <w:spacing w:before="100" w:beforeAutospacing="1" w:after="100" w:afterAutospacing="1"/>
            </w:pPr>
          </w:p>
          <w:p w:rsidR="002D30BF" w:rsidRPr="002D30BF" w:rsidRDefault="002D30BF" w:rsidP="002D30BF">
            <w:pPr>
              <w:spacing w:before="100" w:beforeAutospacing="1" w:after="100" w:afterAutospacing="1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/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 xml:space="preserve">1) Ūdens noteces un līmeņu regulēšanas hidrotehniskā būve, ja aizsprosta augstums pārsniedz 15 m vai </w:t>
            </w:r>
            <w:proofErr w:type="spellStart"/>
            <w:r w:rsidRPr="002D30BF">
              <w:t>novadbūves</w:t>
            </w:r>
            <w:proofErr w:type="spellEnd"/>
            <w:r w:rsidRPr="002D30BF">
              <w:t xml:space="preserve"> caurplūde pārsniedz 500 m</w:t>
            </w:r>
            <w:r w:rsidRPr="002D30BF">
              <w:rPr>
                <w:vertAlign w:val="superscript"/>
              </w:rPr>
              <w:t>3</w:t>
            </w:r>
            <w:r w:rsidRPr="002D30BF">
              <w:t xml:space="preserve">/s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2) Ūdens resursu izmantošanas hidrotehniskā būve, ja hidroelektrostacijas projektētā jauda ir no 1 MW līdz 2 MW vai sūkņu stacijas ražīgums ir lielāks par 5 m</w:t>
            </w:r>
            <w:r w:rsidRPr="002D30BF">
              <w:rPr>
                <w:vertAlign w:val="superscript"/>
              </w:rPr>
              <w:t>3</w:t>
            </w:r>
            <w:r w:rsidRPr="002D30BF">
              <w:t>/s</w:t>
            </w:r>
          </w:p>
        </w:tc>
      </w:tr>
      <w:tr w:rsidR="002D30BF" w:rsidRPr="002D30BF" w:rsidTr="002D30BF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lastRenderedPageBreak/>
              <w:t>6. Ar radiācijas drošību saistītās būves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/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Ar radiācijas drošību saistītās būves (kodoliekārtas un radioaktīvo atkritumu pārvaldības objekti (valsts nozīmes jonizējošā starojuma objekti))</w:t>
            </w:r>
          </w:p>
        </w:tc>
      </w:tr>
      <w:tr w:rsidR="002D30BF" w:rsidRPr="002D30BF" w:rsidTr="002D30BF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7. Būves Latvijas Republikas teritoriālajos ūdeņos un ekskluzīvajā ekonomiskajā zonā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/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Visas būves Latvijas Republikas teritoriālajos ūdeņos un ekskluzīvajā ekonomiskajā zonā</w:t>
            </w:r>
          </w:p>
        </w:tc>
      </w:tr>
      <w:tr w:rsidR="002D30BF" w:rsidRPr="002D30BF" w:rsidTr="002D30BF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8. Ostu hidrotehniskās, siltumenerģijas, gāzes un citas atsevišķi neklasificētas inženierbūves</w:t>
            </w:r>
          </w:p>
        </w:tc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Pr="002D30BF" w:rsidRDefault="002D30BF" w:rsidP="002D30BF">
            <w:r w:rsidRPr="002D30BF">
              <w:t>1) Atsevišķs labiekārtojuma elements, kas atrodas publiskajā ārtelpā</w:t>
            </w:r>
            <w:r w:rsidRPr="002D30BF">
              <w:rPr>
                <w:vertAlign w:val="superscript"/>
              </w:rPr>
              <w:t>5</w:t>
            </w:r>
            <w:r w:rsidRPr="002D30BF">
              <w:t>, – soliņš, bērnu rotaļu ierīce, sporta aprīkojums, atsevišķa laterna un apgaismes ķermenis, laipa, gājēju tiltiņš, karogu masts, ielu norādes stabs, velosipēdu statīvs u. tml.</w:t>
            </w:r>
            <w:r w:rsidRPr="002D30BF">
              <w:rPr>
                <w:vertAlign w:val="superscript"/>
              </w:rPr>
              <w:t>6</w:t>
            </w:r>
            <w:r w:rsidRPr="002D30BF">
              <w:t xml:space="preserve"> 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2) Sporta laukums ar segumu</w:t>
            </w:r>
            <w:r w:rsidRPr="002D30BF">
              <w:rPr>
                <w:vertAlign w:val="superscript"/>
              </w:rPr>
              <w:t>5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3) Stacionārs (ar zemē izbūvētiem pamatiem vai pamatni) līdz 6 m augsts reklāmas un informācijas stends ar vai bez inženiertīkla pievada</w:t>
            </w:r>
            <w:r w:rsidRPr="002D30BF">
              <w:rPr>
                <w:vertAlign w:val="superscript"/>
              </w:rPr>
              <w:t>6,7,8,9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4) Žogs un mūris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5) Gājēju ceļš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6) Veloceļš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 xml:space="preserve">7) Vieglas konstrukcijas gājēju vai </w:t>
            </w:r>
            <w:proofErr w:type="spellStart"/>
            <w:r w:rsidRPr="002D30BF">
              <w:t>velo</w:t>
            </w:r>
            <w:proofErr w:type="spellEnd"/>
            <w:r w:rsidRPr="002D30BF">
              <w:t xml:space="preserve"> tilts ar laidumu līdz 10 m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8) Inženiertīklu pievads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9) Labiekārtots laukums ar segumu (betona, šķembu u. c.) bez inženiertīkliem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 xml:space="preserve">10) Avotu </w:t>
            </w:r>
            <w:proofErr w:type="spellStart"/>
            <w:r w:rsidRPr="002D30BF">
              <w:t>kaptāža</w:t>
            </w:r>
            <w:proofErr w:type="spellEnd"/>
            <w:r w:rsidRPr="002D30BF">
              <w:t>, grodu aka un ūdens ieguves urbums dziļumā līdz 20 m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11) Tornis vai masts līdz 10 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BF" w:rsidRPr="002D30BF" w:rsidRDefault="002D30BF" w:rsidP="002D30BF"/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BF" w:rsidRDefault="002D30BF" w:rsidP="002D30BF">
            <w:r w:rsidRPr="002D30BF">
              <w:t xml:space="preserve">1) Pasažieru kuģu piestātne, osta vai piestātne, kas paredzēta kravu pārkraušanai, ja tā var apkalpot kuģus, kuru bruto tilpība ir 1000  un lielāka </w:t>
            </w:r>
          </w:p>
          <w:p w:rsidR="002D30BF" w:rsidRDefault="002D30BF" w:rsidP="002D30BF"/>
          <w:p w:rsidR="002D30BF" w:rsidRDefault="002D30BF" w:rsidP="002D30BF">
            <w:r w:rsidRPr="002D30BF">
              <w:t>2) Gāzes pārvades un uzglabāšanas sistēma ar darba spiedienu virs 1,6 </w:t>
            </w:r>
            <w:proofErr w:type="spellStart"/>
            <w:r w:rsidRPr="002D30BF">
              <w:t>MPa</w:t>
            </w:r>
            <w:proofErr w:type="spellEnd"/>
          </w:p>
          <w:p w:rsidR="002D30BF" w:rsidRPr="002D30BF" w:rsidRDefault="002D30BF" w:rsidP="002D30BF">
            <w:r w:rsidRPr="002D30BF">
              <w:t xml:space="preserve">3) Rūpnieciskās ražošanas būve (ieguves rūpniecības vai </w:t>
            </w:r>
            <w:proofErr w:type="spellStart"/>
            <w:r w:rsidRPr="002D30BF">
              <w:t>iežieguves</w:t>
            </w:r>
            <w:proofErr w:type="spellEnd"/>
            <w:r w:rsidRPr="002D30BF">
              <w:t xml:space="preserve"> būve, ķīmiskās ražošanas būve, smagās rūpniecības uzņēmumu būve)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4) Estrāde, atklātais sporta laukums un baseins ar tribīnēm, paredzēts vairāk nekā 100 cilvēkiem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5) Maģistrālie naftas produktu cauruļvadi (izņemot gāzes cauruļvadus)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6) Notekūdeņu attīrīšanas ietaise ar jaudu virs 100 m</w:t>
            </w:r>
            <w:r w:rsidRPr="002D30BF">
              <w:rPr>
                <w:vertAlign w:val="superscript"/>
              </w:rPr>
              <w:t>3</w:t>
            </w:r>
            <w:r w:rsidRPr="002D30BF">
              <w:t>/diennaktī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7) Kanalizācijas notekūdeņu pārsūknēšanas stacija ar jaudu virs 100 m</w:t>
            </w:r>
            <w:r w:rsidRPr="002D30BF">
              <w:rPr>
                <w:vertAlign w:val="superscript"/>
              </w:rPr>
              <w:t>3</w:t>
            </w:r>
            <w:r w:rsidRPr="002D30BF">
              <w:t>/diennaktī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8) Ūdens un kanalizācijas tīkli ar diametru no 500 mm</w:t>
            </w:r>
          </w:p>
          <w:p w:rsidR="002D30BF" w:rsidRDefault="002D30BF" w:rsidP="002D30BF">
            <w:pPr>
              <w:spacing w:before="100" w:beforeAutospacing="1" w:after="100" w:afterAutospacing="1"/>
            </w:pPr>
            <w:r w:rsidRPr="002D30BF">
              <w:t>9) Ūdens attīrīšanas ietaise ar jaudu virs 100 m</w:t>
            </w:r>
            <w:r w:rsidRPr="002D30BF">
              <w:rPr>
                <w:vertAlign w:val="superscript"/>
              </w:rPr>
              <w:t>3</w:t>
            </w:r>
            <w:r w:rsidRPr="002D30BF">
              <w:t>/diennaktī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>
              <w:t>1</w:t>
            </w:r>
            <w:r w:rsidRPr="002D30BF">
              <w:t>0) Lidlauka skrejceļš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11) Tornis, augstāks par 100 m</w:t>
            </w:r>
          </w:p>
          <w:p w:rsidR="002D30BF" w:rsidRPr="002D30BF" w:rsidRDefault="002D30BF" w:rsidP="002D30BF">
            <w:pPr>
              <w:spacing w:before="100" w:beforeAutospacing="1" w:after="100" w:afterAutospacing="1"/>
            </w:pPr>
            <w:r w:rsidRPr="002D30BF">
              <w:t>12) Masts, augstāks par 100 m</w:t>
            </w:r>
          </w:p>
        </w:tc>
      </w:tr>
    </w:tbl>
    <w:p w:rsidR="002D30BF" w:rsidRDefault="002D30BF" w:rsidP="002D30BF">
      <w:pPr>
        <w:pStyle w:val="tvhtml"/>
      </w:pPr>
      <w:r>
        <w:lastRenderedPageBreak/>
        <w:t>Piezīmes.</w:t>
      </w:r>
    </w:p>
    <w:p w:rsidR="002D30BF" w:rsidRDefault="002D30BF" w:rsidP="002D30BF">
      <w:pPr>
        <w:pStyle w:val="tvhtml"/>
      </w:pPr>
      <w:proofErr w:type="gramStart"/>
      <w:r>
        <w:rPr>
          <w:vertAlign w:val="superscript"/>
        </w:rPr>
        <w:t>2 </w:t>
      </w:r>
      <w:r>
        <w:t>Tabulā</w:t>
      </w:r>
      <w:proofErr w:type="gramEnd"/>
      <w:r>
        <w:t xml:space="preserve"> ir dots inženierbūvju uzskaitījums atbilstoši būvju grupām, kas jāņem vērā, piemērojot speciālajos būvnoteikumos noteikto būvniecības procesu.</w:t>
      </w:r>
    </w:p>
    <w:p w:rsidR="002D30BF" w:rsidRDefault="002D30BF" w:rsidP="002D30BF">
      <w:pPr>
        <w:pStyle w:val="tvhtml"/>
      </w:pPr>
      <w:r>
        <w:rPr>
          <w:vertAlign w:val="superscript"/>
        </w:rPr>
        <w:t>3 </w:t>
      </w:r>
      <w:r>
        <w:t>Iekšējo inženiertīklu būvniecībai piemēro attiecīgajos speciālajos būvnoteikumos noteikto būvniecības procesu.</w:t>
      </w:r>
    </w:p>
    <w:p w:rsidR="002D30BF" w:rsidRDefault="002D30BF" w:rsidP="002D30BF">
      <w:pPr>
        <w:pStyle w:val="tvhtml"/>
      </w:pPr>
      <w:r>
        <w:rPr>
          <w:vertAlign w:val="superscript"/>
        </w:rPr>
        <w:t>4 </w:t>
      </w:r>
      <w:r>
        <w:t>Termini "autoceļš", "ceļš" un "iela" šajos noteikumos tiek lietoti atbilstoši likumā "</w:t>
      </w:r>
      <w:hyperlink r:id="rId6" w:tgtFrame="_blank" w:history="1">
        <w:r>
          <w:rPr>
            <w:rStyle w:val="Hyperlink"/>
          </w:rPr>
          <w:t>Par autoceļiem</w:t>
        </w:r>
      </w:hyperlink>
      <w:r>
        <w:t xml:space="preserve">" un </w:t>
      </w:r>
      <w:hyperlink r:id="rId7" w:tgtFrame="_blank" w:history="1">
        <w:r>
          <w:rPr>
            <w:rStyle w:val="Hyperlink"/>
          </w:rPr>
          <w:t>Ceļu satiksmes likumā</w:t>
        </w:r>
      </w:hyperlink>
      <w:r>
        <w:t xml:space="preserve"> noteiktajai definīcijai.</w:t>
      </w:r>
    </w:p>
    <w:p w:rsidR="002D30BF" w:rsidRDefault="002D30BF" w:rsidP="002D30BF">
      <w:pPr>
        <w:pStyle w:val="tvhtml"/>
      </w:pPr>
      <w:r>
        <w:rPr>
          <w:vertAlign w:val="superscript"/>
        </w:rPr>
        <w:t>5 </w:t>
      </w:r>
      <w:r>
        <w:t>Būvniecības ieceres dokumentācija nav nepieciešama to atsevišķo labiekārtojuma elementu un sporta laukumu novietošanai vai būvniecībai, kas neatrodas publiskajā ārtelpā.</w:t>
      </w:r>
    </w:p>
    <w:p w:rsidR="002D30BF" w:rsidRDefault="002D30BF" w:rsidP="002D30BF">
      <w:pPr>
        <w:pStyle w:val="tvhtml"/>
      </w:pPr>
      <w:r>
        <w:rPr>
          <w:vertAlign w:val="superscript"/>
        </w:rPr>
        <w:t>6 </w:t>
      </w:r>
      <w:r>
        <w:t xml:space="preserve">Atsevišķie labiekārtojuma elementi, kā arī stacionārie reklāmas un informācijas stendi nav uzskatāmi par kadastra objektiem </w:t>
      </w:r>
      <w:hyperlink r:id="rId8" w:tgtFrame="_blank" w:history="1">
        <w:r>
          <w:rPr>
            <w:rStyle w:val="Hyperlink"/>
          </w:rPr>
          <w:t>Nekustamā īpašuma valsts kadastra likuma</w:t>
        </w:r>
      </w:hyperlink>
      <w:r>
        <w:t xml:space="preserve"> izpratnē.</w:t>
      </w:r>
    </w:p>
    <w:p w:rsidR="002D30BF" w:rsidRDefault="002D30BF" w:rsidP="002D30BF">
      <w:pPr>
        <w:pStyle w:val="tvhtml"/>
      </w:pPr>
      <w:r>
        <w:rPr>
          <w:vertAlign w:val="superscript"/>
        </w:rPr>
        <w:t>7 </w:t>
      </w:r>
      <w:r>
        <w:t>Reklāmas un informācijas stends bez zemē izbūvētiem pamatiem vai pamatnes un ar augstumu līdz 6 m nav uzskatāms par būvi, un to novietošanu veic saskaņā ar normatīvajiem aktiem, kas regulē reklāmas objektu izvietošanu ar piesaisti zemei.</w:t>
      </w:r>
    </w:p>
    <w:p w:rsidR="002D30BF" w:rsidRDefault="002D30BF" w:rsidP="002D30BF">
      <w:pPr>
        <w:pStyle w:val="tvhtml"/>
      </w:pPr>
      <w:r>
        <w:rPr>
          <w:vertAlign w:val="superscript"/>
        </w:rPr>
        <w:t>8 </w:t>
      </w:r>
      <w:r>
        <w:t xml:space="preserve">Vispārīgajos un speciālajos būvnoteikumos noteiktais būvniecības process nav piemērojams </w:t>
      </w:r>
      <w:proofErr w:type="spellStart"/>
      <w:r>
        <w:t>gaisvada</w:t>
      </w:r>
      <w:proofErr w:type="spellEnd"/>
      <w:r>
        <w:t xml:space="preserve"> elektrības pieslēgumam līdz 5 m pie stacionārā reklāmas un informācijas stenda.</w:t>
      </w:r>
    </w:p>
    <w:p w:rsidR="002D30BF" w:rsidRDefault="002D30BF" w:rsidP="002D30BF">
      <w:pPr>
        <w:pStyle w:val="tvhtml"/>
      </w:pPr>
      <w:r>
        <w:rPr>
          <w:vertAlign w:val="superscript"/>
        </w:rPr>
        <w:t>9 </w:t>
      </w:r>
      <w:r>
        <w:t xml:space="preserve">Vispārīgajos un speciālajos būvnoteikumos noteiktais būvniecības process nav piemērojams stacionāro reklāmas un informācijas stendu novietošanai ar </w:t>
      </w:r>
      <w:proofErr w:type="spellStart"/>
      <w:r>
        <w:t>gaisvada</w:t>
      </w:r>
      <w:proofErr w:type="spellEnd"/>
      <w:r>
        <w:t xml:space="preserve"> elektrības pieslēgumu līdz 5 m vai bez tā, kur telpisko reklāmas objektu (apaļi vai trīsplakņu piloni, citi figurāli objekti) izmēri nepārsniedz 2 m šķērsgriezumā un 4,5 m augstumā, bet vienpusējo un divpusējo reklāmas objektu izmēri – 5 m platumā un 6 m augstumā, un to veic saskaņā ar normatīvajiem aktiem, kas regulē reklāmas objekta izvietošanu ar piesaisti zemei. Vispārīgajos un speciālajos būvnoteikumos noteiktais būvniecības process nav piemērojams šādu objektu nojaukšanai.</w:t>
      </w:r>
    </w:p>
    <w:p w:rsidR="00A35D7B" w:rsidRPr="00E916E7" w:rsidRDefault="00A35D7B" w:rsidP="002D30BF">
      <w:pPr>
        <w:pStyle w:val="NormalWeb"/>
        <w:spacing w:before="0" w:beforeAutospacing="0" w:after="0" w:afterAutospacing="0"/>
      </w:pPr>
    </w:p>
    <w:sectPr w:rsidR="00A35D7B" w:rsidRPr="00E916E7" w:rsidSect="002D30BF">
      <w:headerReference w:type="even" r:id="rId9"/>
      <w:pgSz w:w="16838" w:h="11906" w:orient="landscape"/>
      <w:pgMar w:top="284" w:right="638" w:bottom="142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88" w:rsidRDefault="000A0E88">
      <w:r>
        <w:separator/>
      </w:r>
    </w:p>
  </w:endnote>
  <w:endnote w:type="continuationSeparator" w:id="0">
    <w:p w:rsidR="000A0E88" w:rsidRDefault="000A0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88" w:rsidRDefault="000A0E88">
      <w:r>
        <w:separator/>
      </w:r>
    </w:p>
  </w:footnote>
  <w:footnote w:type="continuationSeparator" w:id="0">
    <w:p w:rsidR="000A0E88" w:rsidRDefault="000A0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3A" w:rsidRDefault="000735A9" w:rsidP="00234B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22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223A" w:rsidRDefault="00F022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3A"/>
    <w:rsid w:val="000735A9"/>
    <w:rsid w:val="000A0E88"/>
    <w:rsid w:val="00234B25"/>
    <w:rsid w:val="002A59B9"/>
    <w:rsid w:val="002D30BF"/>
    <w:rsid w:val="00476082"/>
    <w:rsid w:val="0057580B"/>
    <w:rsid w:val="007D555E"/>
    <w:rsid w:val="00800E07"/>
    <w:rsid w:val="009B639D"/>
    <w:rsid w:val="00A1776A"/>
    <w:rsid w:val="00A35D7B"/>
    <w:rsid w:val="00B55202"/>
    <w:rsid w:val="00DA7A08"/>
    <w:rsid w:val="00E916E7"/>
    <w:rsid w:val="00EE0D31"/>
    <w:rsid w:val="00F0223A"/>
    <w:rsid w:val="00F57B96"/>
    <w:rsid w:val="00F8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5A9"/>
    <w:rPr>
      <w:sz w:val="24"/>
      <w:szCs w:val="24"/>
    </w:rPr>
  </w:style>
  <w:style w:type="paragraph" w:styleId="Heading4">
    <w:name w:val="heading 4"/>
    <w:basedOn w:val="Normal"/>
    <w:qFormat/>
    <w:rsid w:val="00F0223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0223A"/>
    <w:pPr>
      <w:spacing w:before="100" w:beforeAutospacing="1" w:after="100" w:afterAutospacing="1"/>
    </w:pPr>
  </w:style>
  <w:style w:type="character" w:styleId="Hyperlink">
    <w:name w:val="Hyperlink"/>
    <w:rsid w:val="00F0223A"/>
    <w:rPr>
      <w:color w:val="0000FF"/>
      <w:u w:val="single"/>
    </w:rPr>
  </w:style>
  <w:style w:type="paragraph" w:styleId="Header">
    <w:name w:val="header"/>
    <w:basedOn w:val="Normal"/>
    <w:rsid w:val="00F022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223A"/>
  </w:style>
  <w:style w:type="paragraph" w:styleId="Footer">
    <w:name w:val="footer"/>
    <w:basedOn w:val="Normal"/>
    <w:rsid w:val="00F022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B6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639D"/>
    <w:rPr>
      <w:rFonts w:ascii="Segoe UI" w:hAnsi="Segoe UI" w:cs="Segoe UI"/>
      <w:sz w:val="18"/>
      <w:szCs w:val="18"/>
    </w:rPr>
  </w:style>
  <w:style w:type="paragraph" w:customStyle="1" w:styleId="tvhtml">
    <w:name w:val="tv_html"/>
    <w:basedOn w:val="Normal"/>
    <w:rsid w:val="002D30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24247-nekustama-ipasuma-valsts-kadastra-liku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45467-celu-satiksmes-liku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65363-par-autocelie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5119</Words>
  <Characters>2918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BV</Company>
  <LinksUpToDate>false</LinksUpToDate>
  <CharactersWithSpaces>8021</CharactersWithSpaces>
  <SharedDoc>false</SharedDoc>
  <HLinks>
    <vt:vector size="6" baseType="variant">
      <vt:variant>
        <vt:i4>8192124</vt:i4>
      </vt:variant>
      <vt:variant>
        <vt:i4>0</vt:i4>
      </vt:variant>
      <vt:variant>
        <vt:i4>0</vt:i4>
      </vt:variant>
      <vt:variant>
        <vt:i4>5</vt:i4>
      </vt:variant>
      <vt:variant>
        <vt:lpwstr>http://likumi.lv/doc.php?id=124247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G.Lukate</dc:creator>
  <cp:keywords/>
  <cp:lastModifiedBy>sandra.rudzite</cp:lastModifiedBy>
  <cp:revision>3</cp:revision>
  <cp:lastPrinted>2014-11-03T08:44:00Z</cp:lastPrinted>
  <dcterms:created xsi:type="dcterms:W3CDTF">2015-01-05T08:23:00Z</dcterms:created>
  <dcterms:modified xsi:type="dcterms:W3CDTF">2017-08-29T07:55:00Z</dcterms:modified>
</cp:coreProperties>
</file>